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KVStGleichstV</w:t>
      </w:r>
    </w:p>
    <w:p>
      <w:r>
        <w:rPr>
          <w:color w:val="555555"/>
          <w:sz w:val="18"/>
        </w:rPr>
        <w:t xml:space="preserve">Verordnung über die kapitalverkehrsteuerliche Gleichstellung der Europäischen Gemeinschaft für Kohle und Stahl, der Europäischen Atomgemeinschaft und der Europäischen Investitionsbank mit dem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Anwendung des Kapitalverkehrsteuergesetzes in der jeweils geltenden Fassung stehen folgende überstaatliche Einrichtungen dem Bund gleich:</w:t>
      </w:r>
    </w:p>
    <w:p>
      <w:pPr>
        <w:ind w:left="420"/>
      </w:pPr>
      <w:r>
        <w:t xml:space="preserve">1. Die Europäische Gemeinschaft für Kohle und Stahl,</w:t>
      </w:r>
    </w:p>
    <w:p>
      <w:pPr>
        <w:ind w:left="420"/>
      </w:pPr>
      <w:r>
        <w:t xml:space="preserve">2. die Europäische Atomgemeinschaft,</w:t>
      </w:r>
    </w:p>
    <w:p>
      <w:pPr>
        <w:ind w:left="420"/>
      </w:pPr>
      <w:r>
        <w:t xml:space="preserve">3. die auf Grund des Artikels 129 des Vertrages zur Gründung der Europäischen Wirtschaftsgemeinschaft errichtete Europäische Investitionsbank.</w:t>
      </w:r>
    </w:p>
    <w:p>
      <w:r>
        <w:rPr>
          <w:color w:val="555555"/>
          <w:sz w:val="17"/>
        </w:rPr>
        <w:t xml:space="preserve">Zitiervorschlag: § 1 KVStGleichstV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https://recht.nulegal.eu/gesetze/KVStGleichstV/1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