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KVMeistPrV — Übergangsvorschriften</w:t>
      </w:r>
    </w:p>
    <w:p>
      <w:r>
        <w:rPr>
          <w:color w:val="555555"/>
          <w:sz w:val="18"/>
        </w:rPr>
        <w:t xml:space="preserve">Verordnung über die Prüfung zum anerkannten Fortbildungsabschluss Geprüfter Meister für Kraftverkehr und Geprüfte Meisterin für Kraftverkehr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Begonnene Prüfungsverfahren können bis zum 30. Juni 2015 nach den bisherigen Vorschriften zu Ende geführt werden. Auf Antrag kann die zuständige Stelle die Wiederholungsprüfung auch nach dieser Verordnung durchführen; § 8 Absatz 2 findet in diesem Fall keine Anwendung. Im Übrigen kann bei der Anmeldung zur Prüfung bis zum Ablauf des 31. Dezember 2012 die Anwendung der bisherigen Vorschriften beantragt werden.</w:t>
      </w:r>
    </w:p>
    <w:p>
      <w:r>
        <w:rPr>
          <w:color w:val="555555"/>
          <w:sz w:val="17"/>
        </w:rPr>
        <w:t xml:space="preserve">Zitiervorschlag: § 11 KVMeistPrV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https://recht.nulegal.eu/gesetze/KVMeistPrV/11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