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KVLG 1989 — Betriebshilfe</w:t>
      </w:r>
    </w:p>
    <w:p>
      <w:r>
        <w:rPr>
          <w:color w:val="555555"/>
          <w:sz w:val="18"/>
        </w:rPr>
        <w:t xml:space="preserve">Zweites Gesetz über die Krankenversicherung der Landwirte</w:t>
      </w:r>
    </w:p>
    <w:p>
      <w:r>
        <w:rPr>
          <w:color w:val="555555"/>
          <w:sz w:val="18"/>
        </w:rPr>
        <w:t xml:space="preserve">Stand: 02.12.2019 (konsolidierte Textfassung, kein amtliches Inkrafttretensdatum)</w:t>
      </w:r>
    </w:p>
    <w:p>
      <w:r>
        <w:t xml:space="preserve">(1) Nach § 2 versicherungspflichtige landwirtschaftliche Unternehmer erhalten anstelle von Krankengeld oder Mutterschaftsgeld Betriebshilfe nach Maßgabe der folgenden Absätze.</w:t>
      </w:r>
    </w:p>
    <w:p>
      <w:r>
        <w:t xml:space="preserve">(2) Betriebshilfe wird während der Krankenhausbehandlung des landwirtschaftlichen Unternehmers oder während einer medizinischen Vorsorge- oder Rehabilitationsleistung nach § 23 Abs. 2 oder 4, § 24, § 40 Abs. 1 oder 2 oder § 41 des Fünften Buches Sozialgesetzbuch gewährt, wenn in dem Unternehmen keine Arbeitnehmer und keine versicherungspflichtigen mitarbeitenden Familienangehörigen ständig beschäftigt werden. Betriebshilfe wird für längstens drei Monate gewährt, soweit die Satzung nicht längere Zeiten vorsieht.</w:t>
      </w:r>
    </w:p>
    <w:p>
      <w:r>
        <w:t xml:space="preserve">(3) Die Satzung kann bestimmen, daß Betriebshilfe während einer Krankheit auch gewährt wird, wenn die Bewirtschaftung des Unternehmens gefährdet ist.</w:t>
      </w:r>
    </w:p>
    <w:p>
      <w:r>
        <w:t xml:space="preserve">(3a) Die Satzung kann bestimmen, dass während der Schwangerschaft und bis zum Ablauf von acht Wochen, in den Fällen des § 3 Absatz 2 Satz 2 des Mutterschutzgesetzes bis zum Ablauf von zwölf Wochen nach der Entbindung anstelle von Mutterschaftsgeld Betriebshilfe gewährt wird, wenn die Bewirtschaftung des Unternehmens gefährdet ist. Bei vorzeitigen Entbindungen ist § 3 Absatz 2 Satz 3 des Mutterschutzgesetzes entsprechend anzuwenden.</w:t>
      </w:r>
    </w:p>
    <w:p>
      <w:r>
        <w:t xml:space="preserve">(4) Die Satzung kann die Betriebshilfe erstrecken auf</w:t>
      </w:r>
    </w:p>
    <w:p>
      <w:pPr>
        <w:ind w:left="420"/>
      </w:pPr>
      <w:r>
        <w:t xml:space="preserve">1. den Ehegatten oder den Lebenspartner des versicherten landwirtschaftlichen Unternehmers,</w:t>
      </w:r>
    </w:p>
    <w:p>
      <w:pPr>
        <w:ind w:left="420"/>
      </w:pPr>
      <w:r>
        <w:t xml:space="preserve">2. die versicherten mitarbeitenden Familienangehörigen,</w:t>
      </w:r>
    </w:p>
    <w:p>
      <w:pPr>
        <w:ind w:left="420"/>
      </w:pPr>
      <w:r>
        <w:t xml:space="preserve">3. Unternehmen, in denen Arbeitnehmer oder versicherungspflichtige mitarbeitende Familienangehörige ständig beschäftigt werden.</w:t>
      </w:r>
    </w:p>
    <w:p>
      <w:r>
        <w:t xml:space="preserve">(5) Versicherte haben Anspruch auf individuelle Beratung und Hilfestellung durch die Krankenkasse, welche Leistungen und unterstützende Angebote zur Wiederherstellung der Arbeitsfähigkeit erforderlich sind. Maßnahmen nach Satz 1 und die dazu erforderliche Verarbeitung personenbezogener Daten dürfen nur mit schriftlicher oder elektronischer Einwilligung und nach vorheriger schriftlicher oder elektronischer Information des Versicherten erfolgen. Die Einwilligung kann jederzeit schriftlich oder elektronisch widerrufen werden. Die Krankenkasse darf ihre Aufgaben nach Satz 1 an die in § 35 des Ersten Buches Sozialgesetzbuch genannten Stellen übertragen.</w:t>
      </w:r>
    </w:p>
    <w:p>
      <w:r>
        <w:rPr>
          <w:color w:val="555555"/>
          <w:sz w:val="17"/>
        </w:rPr>
        <w:t xml:space="preserve">Zitiervorschlag: § 9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