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KVLG 1989 — Übergangsregelung</w:t>
      </w:r>
    </w:p>
    <w:p>
      <w:r>
        <w:rPr>
          <w:color w:val="555555"/>
          <w:sz w:val="18"/>
        </w:rPr>
        <w:t xml:space="preserve">Zweites Gesetz über die Krankenversicherung der Landwirte</w:t>
      </w:r>
    </w:p>
    <w:p>
      <w:r>
        <w:rPr>
          <w:color w:val="555555"/>
          <w:sz w:val="18"/>
        </w:rPr>
        <w:t xml:space="preserve">Stand: 04.07.2020 (konsolidierte Textfassung, kein amtliches Inkrafttretensdatum)</w:t>
      </w:r>
    </w:p>
    <w:p>
      <w:r>
        <w:t xml:space="preserve">Für Personen, die am 30. Juni 2020 nach § 2 Absatz 1 Nummer 5 versicherungspflichtig sind, findet § 2 Absatz 1 Nummer 5 weiterhin in der bis zum 30. Juni 2020 geltenden Fassung Anwendung.</w:t>
      </w:r>
    </w:p>
    <w:p>
      <w:r>
        <w:rPr>
          <w:color w:val="555555"/>
          <w:sz w:val="17"/>
        </w:rPr>
        <w:t xml:space="preserve">Zitiervorschlag: § 65 KVLG 1989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https://recht.nulegal.eu/gesetze/KVLG%201989/65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