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KVLG 1989 — Freiwillige Versicherung</w:t>
      </w:r>
    </w:p>
    <w:p>
      <w:r>
        <w:rPr>
          <w:color w:val="555555"/>
          <w:sz w:val="18"/>
        </w:rPr>
        <w:t xml:space="preserve">Zweites Gesetz über die Krankenversicherung der Landwirte</w:t>
      </w:r>
    </w:p>
    <w:p>
      <w:r>
        <w:rPr>
          <w:color w:val="555555"/>
          <w:sz w:val="18"/>
        </w:rPr>
        <w:t xml:space="preserve">Stand: 01.07.2026 (konsolidierte Textfassung, kein amtliches Inkrafttretensdatum)</w:t>
      </w:r>
    </w:p>
    <w:p>
      <w:r>
        <w:t xml:space="preserve">(1) Der Versicherung können beitreten</w:t>
      </w:r>
    </w:p>
    <w:p>
      <w:pPr>
        <w:ind w:left="420"/>
      </w:pPr>
      <w:r>
        <w:t xml:space="preserve">1. Personen, die aus der Versicherungspflicht nach diesem Gesetz ausgeschieden sind und in den letzten fünf Jahren vor dem Ausscheiden mindestens vierundzwanzig Monate oder unmittelbar vor dem Ausscheiden ununterbrochen mindestens zwölf Monate versichert waren; Zeiten der Mitgliedschaft nach § 23 und Zeiten, in denen eine Versicherung allein deshalb bestanden hat, weil Grundsicherungsgeld nach § 19 Absatz 1 Satz 1 des Zweiten Buches Sozialgesetzbuch zu Unrecht bezogen wurde, werden nicht berücksichtigt,</w:t>
      </w:r>
    </w:p>
    <w:p>
      <w:pPr>
        <w:ind w:left="420"/>
      </w:pPr>
      <w:r>
        <w:t xml:space="preserve">2. Personen, deren Versicherung nach § 7 erlischt oder nur deswegen nicht besteht, weil die Voraussetzungen des § 10 Abs. 1 Nr. 4 oder Abs. 3 des Fünften Buches Sozialgesetzbuch vorliegen, wenn sie oder der Elternteil, aus dessen Versicherung die Familienversicherung abgeleitet wurde, die in Nummer 1 genannte Vorversicherungszeit erfüllen.</w:t>
      </w:r>
    </w:p>
    <w:p>
      <w:r>
        <w:t xml:space="preserve">Für die Berechnung der Vorversicherungszeiten nach Satz 1 Nr. 1 gelten 360 Tage eines Bezugs von Leistungen, die nach § 339 des Dritten Buches Sozialgesetzbuch berechnet werden, als zwölf Monate.</w:t>
      </w:r>
    </w:p>
    <w:p>
      <w:r>
        <w:t xml:space="preserve">(2) Der Beitritt ist der Krankenkasse innerhalb von drei Monaten anzuzeigen und in Textform zu erklären,</w:t>
      </w:r>
    </w:p>
    <w:p>
      <w:pPr>
        <w:ind w:left="420"/>
      </w:pPr>
      <w:r>
        <w:t xml:space="preserve">1. im Falle des Absatzes 1 Nr. 1 nach Beendigung der Mitgliedschaft,</w:t>
      </w:r>
    </w:p>
    <w:p>
      <w:pPr>
        <w:ind w:left="420"/>
      </w:pPr>
      <w:r>
        <w:t xml:space="preserve">2. im Falle des Absatzes 1 Nr. 2 nach Beendigung der Versicherung oder nach dem Beginn der Unterhaltsberechtigung gegenüber dem Mitglied.</w:t>
      </w:r>
    </w:p>
    <w:p>
      <w:r>
        <w:t xml:space="preserve">Die Krankenkasse hat sicherzustellen, dass die Mitgliedschaftsberechtigten vor Abgabe ihrer Erklärung in geeigneter Weise in Textform über die Rechtsfolgen ihrer Beitrittserklärung informiert werden.</w:t>
      </w:r>
    </w:p>
    <w:p>
      <w:r>
        <w:rPr>
          <w:color w:val="555555"/>
          <w:sz w:val="17"/>
        </w:rPr>
        <w:t xml:space="preserve">Zitiervorschlag: § 6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KVLG 1989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