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KVLG 1989 — Verordnungsermächtigung</w:t>
      </w:r>
    </w:p>
    <w:p>
      <w:r>
        <w:rPr>
          <w:color w:val="555555"/>
          <w:sz w:val="18"/>
        </w:rPr>
        <w:t xml:space="preserve">Zweites Gesetz über die Krankenversicherung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Ernährung und Landwirtschaft kann im Einvernehmen mit dem Bundesministerium für Gesundheit und dem Bundesministerium der Finanzen durch Rechtsverordnung mit Zustimmung des Bundesrates Näheres bestimmen über</w:t>
      </w:r>
    </w:p>
    <w:p>
      <w:pPr>
        <w:ind w:left="420"/>
      </w:pPr>
      <w:r>
        <w:t xml:space="preserve">1. die Nachweise der Leistungsaufwendungen für die in § 2 Abs. 1 Nr. 4 und 5 genannten Versicherten und der Zuschüsse nach § 4 Abs. 3 und § 59 Abs. 3 sowie die Zahlung der Zuschüsse des Bundes,</w:t>
      </w:r>
    </w:p>
    <w:p>
      <w:pPr>
        <w:ind w:left="420"/>
      </w:pPr>
      <w:r>
        <w:t xml:space="preserve">2. die Zahlung der Beiträge nach den §§ 44 und 45.</w:t>
      </w:r>
    </w:p>
    <w:p>
      <w:r>
        <w:rPr>
          <w:color w:val="555555"/>
          <w:sz w:val="17"/>
        </w:rPr>
        <w:t xml:space="preserve">Zitiervorschlag: § 53 KVLG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https://recht.nulegal.eu/gesetze/KVLG%201989/53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