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KVLG 1989 — Beitragsberechnung für freiwillige Mitglieder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Für freiwillige Mitglieder wird die Beitragsbemessung durch die Satzung geregelt; § 240 des Fünften Buches Sozialgesetzbuch ist mit der Maßgabe anzuwenden, dass an die Stelle der Regelungen des Spitzenverbandes Bund der Krankenkassen die Regelungen der Satzung treten. Für das außerland- und außerforstwirtschaftliche Arbeitseinkommen gilt § 41. Für die Beitragsfreiheit bei Bezug von Krankengeld, Mutterschaftsgeld und Elterngeld gilt § 224 des Fünften Buches Sozialgesetzbuch.</w:t>
      </w:r>
    </w:p>
    <w:p>
      <w:r>
        <w:t xml:space="preserve">(2) Die Satzung kann auch Beitragsklassen vorsehen.</w:t>
      </w:r>
    </w:p>
    <w:p>
      <w:r>
        <w:rPr>
          <w:color w:val="555555"/>
          <w:sz w:val="17"/>
        </w:rPr>
        <w:t xml:space="preserve">Zitiervorschlag: § 46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