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3a KVLG 1989 — Versicherungsfreiheit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Versicherungsfrei ist, wer</w:t>
      </w:r>
    </w:p>
    <w:p>
      <w:pPr>
        <w:ind w:left="420"/>
      </w:pPr>
      <w:r>
        <w:t xml:space="preserve">1. die Voraussetzungen des § 6 Abs. 1 Nr. 1, 2 oder 4 bis 8 oder § 6 Abs. 3a des Fünften Buches Sozialgesetzbuch erfüllt; § 6 Absatz 4 des Fünften Buches Sozialgesetzbuch gilt, oder</w:t>
      </w:r>
    </w:p>
    <w:p>
      <w:pPr>
        <w:ind w:left="420"/>
      </w:pPr>
      <w:r>
        <w:t xml:space="preserve">2. Mitglied des Deutschen Bundestages oder eines Landtages oder Versorgungsempfänger nach den Abgeordnetengesetzen des Bundes oder der Länder ist.</w:t>
      </w:r>
    </w:p>
    <w:p>
      <w:r>
        <w:rPr>
          <w:color w:val="555555"/>
          <w:sz w:val="17"/>
        </w:rPr>
        <w:t xml:space="preserve">Zitiervorschlag: § 3a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