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KVLG 1989 — Prüfpflicht</w:t>
      </w:r>
    </w:p>
    <w:p>
      <w:r>
        <w:rPr>
          <w:color w:val="555555"/>
          <w:sz w:val="18"/>
        </w:rPr>
        <w:t xml:space="preserve">Zweites Gesetz über die Krankenversicherung der Landwirte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landwirtschaftliche Krankenkasse prüft mindestens alle vier Jahre die für die Versicherung und die Erhebung der Beiträge maßgebenden Tatsachen.</w:t>
      </w:r>
    </w:p>
    <w:p>
      <w:r>
        <w:rPr>
          <w:color w:val="555555"/>
          <w:sz w:val="17"/>
        </w:rPr>
        <w:t xml:space="preserve">Zitiervorschlag: § 33 KVLG 1989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https://recht.nulegal.eu/gesetze/KVLG%201989/33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