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KVLG 1989 — Meldepflichten bestimmter Versicherungspflichtiger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Versicherungspflichtige, die eine Rente nach dem Gesetz über die Alterssicherung der Landwirte, eine Rente der gesetzlichen Rentenversicherung oder der Rente vergleichbare Einnahmen (Versorgungsbezüge) beziehen, haben ihrer landwirtschaftlichen Krankenkasse unverzüglich zu melden</w:t>
      </w:r>
    </w:p>
    <w:p>
      <w:pPr>
        <w:ind w:left="420"/>
      </w:pPr>
      <w:r>
        <w:t xml:space="preserve">1. Beginn und Höhe der Rente,</w:t>
      </w:r>
    </w:p>
    <w:p>
      <w:pPr>
        <w:ind w:left="420"/>
      </w:pPr>
      <w:r>
        <w:t xml:space="preserve">2. Beginn, Höhe, Veränderungen und die Zahlstelle der Versorgungsbezüge,</w:t>
      </w:r>
    </w:p>
    <w:p>
      <w:pPr>
        <w:ind w:left="420"/>
      </w:pPr>
      <w:r>
        <w:t xml:space="preserve">3. Beginn, Höhe und Veränderungen des Arbeitseinkommens.</w:t>
      </w:r>
    </w:p>
    <w:p>
      <w:r>
        <w:rPr>
          <w:color w:val="555555"/>
          <w:sz w:val="17"/>
        </w:rPr>
        <w:t xml:space="preserve">Zitiervorschlag: § 31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