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 KVLG 1989 — Fortbestehen der Mitgliedschaft</w:t>
      </w:r>
    </w:p>
    <w:p>
      <w:r>
        <w:rPr>
          <w:color w:val="555555"/>
          <w:sz w:val="18"/>
        </w:rPr>
        <w:t xml:space="preserve">Zweites Gesetz über die Krankenversicherung der Landwirte</w:t>
      </w:r>
    </w:p>
    <w:p>
      <w:r>
        <w:rPr>
          <w:color w:val="555555"/>
          <w:sz w:val="18"/>
        </w:rPr>
        <w:t xml:space="preserve">Stand: 01.01.2025 (konsolidierte Textfassung, kein amtliches Inkrafttretensdatum)</w:t>
      </w:r>
    </w:p>
    <w:p>
      <w:r>
        <w:t xml:space="preserve">(1) Die Mitgliedschaft der in § 2 Abs. 1 Nr. 1 bis 3 genannten Versicherungspflichtigen bleibt erhalten, solange</w:t>
      </w:r>
    </w:p>
    <w:p>
      <w:pPr>
        <w:ind w:left="420"/>
      </w:pPr>
      <w:r>
        <w:t xml:space="preserve">1. Anspruch auf Krankengeld oder auf Mutterschaftsgeld besteht oder eine dieser Leistungen oder nach gesetzlichen Vorschriften Erziehungsgeld oder Elterngeld bezogen oder Elternzeit in Anspruch genommen oder Pflegeunterstützungsgeld bezogen wird oder</w:t>
      </w:r>
    </w:p>
    <w:p>
      <w:pPr>
        <w:ind w:left="420"/>
      </w:pPr>
      <w:r>
        <w:t xml:space="preserve">2. von einem Rehabilitationsträger während Leistungen zur medizinischen Rehabilitation Verletztengeld, Krankengeld der Sozialen Entschädigung, Krankengeld der Soldatenentschädigung oder Übergangsgeld gezahlt wird.</w:t>
      </w:r>
    </w:p>
    <w:p>
      <w:r>
        <w:t xml:space="preserve">(2) Während der Schwangerschaft bleibt die Mitgliedschaft Versicherungspflichtiger auch erhalten, wenn das Beschäftigungsverhältnis vom Arbeitgeber zulässig aufgelöst oder das Mitglied unter Wegfall des Arbeitsentgelts beurlaubt worden ist, es sei denn, es besteht eine Mitgliedschaft nach anderen Vorschriften.</w:t>
      </w:r>
    </w:p>
    <w:p>
      <w:r>
        <w:t xml:space="preserve">(3) Bei Wehr- und Zivildienst gilt § 193 des Fünften Buches Sozialgesetzbuch entsprechend.</w:t>
      </w:r>
    </w:p>
    <w:p>
      <w:r>
        <w:rPr>
          <w:color w:val="555555"/>
          <w:sz w:val="17"/>
        </w:rPr>
        <w:t xml:space="preserve">Zitiervorschlag: § 25 KVLG 1989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https://recht.nulegal.eu/gesetze/KVLG%201989/25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