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KVLG 1989 — Krankengeld für nicht rentenversicherungspflichtige mitarbeitende Familienangehörige</w:t>
      </w:r>
    </w:p>
    <w:p>
      <w:r>
        <w:rPr>
          <w:color w:val="555555"/>
          <w:sz w:val="18"/>
        </w:rPr>
        <w:t xml:space="preserve">Zweites Gesetz über die Krankenversicherung der Landwirte</w:t>
      </w:r>
    </w:p>
    <w:p>
      <w:r>
        <w:rPr>
          <w:color w:val="555555"/>
          <w:sz w:val="18"/>
        </w:rPr>
        <w:t xml:space="preserve">Stand: 10.06.2019 (konsolidierte Textfassung, kein amtliches Inkrafttretensdatum)</w:t>
      </w:r>
    </w:p>
    <w:p>
      <w:r>
        <w:t xml:space="preserve">(1) Die nach § 2 Abs. 1 Nr. 3 versicherungspflichtigen mitarbeitenden Familienangehörigen, die nicht rentenversicherungspflichtig sind, erhalten Krankengeld in Höhe eines Achtels des in § 223 Abs. 3 des Fünften Buches Sozialgesetzbuch genannten Betrages; die Satzung kann das Krankengeld bis auf ein Viertel dieses Betrages erhöhen.</w:t>
      </w:r>
    </w:p>
    <w:p>
      <w:r>
        <w:t xml:space="preserve">(2) Das Krankengeld wird wegen derselben Krankheit für längstens achtundsiebzig Wochen gewährt, auch wenn während der Bezugszeit von Krankengeld eine weitere Krankheit hinzutritt.</w:t>
      </w:r>
    </w:p>
    <w:p>
      <w:r>
        <w:t xml:space="preserve">(3) Der Anspruch auf Krankengeld ruht, wenn und soweit der Versicherte während der Krankheit Arbeitsentgelt erhalten würde, wenn er als Arbeitnehmer einen gesetzlichen Anspruch auf Fortzahlung des Arbeitsentgelts im Krankheitsfall hätte. Dies gilt nicht für einmalig gezahltes Arbeitsentgelt (§ 23a des Vierten Buches Sozialgesetzbuch).</w:t>
      </w:r>
    </w:p>
    <w:p>
      <w:r>
        <w:t xml:space="preserve">(4) § 44 Abs. 1, § 44a Satz 1, § 46 Satz 1 bis 3, § 47 Abs. 1 Satz 6 und 7, § 48 Abs. 3 und die §§ 49 bis 51 des Fünften Buches Sozialgesetzbuch gelten entsprechend.</w:t>
      </w:r>
    </w:p>
    <w:p>
      <w:r>
        <w:rPr>
          <w:color w:val="555555"/>
          <w:sz w:val="17"/>
        </w:rPr>
        <w:t xml:space="preserve">Zitiervorschlag: § 13 KVLG 1989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https://recht.nulegal.eu/gesetze/KVLG%201989/13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