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KVLG 1989 — Krankengeld</w:t>
      </w:r>
    </w:p>
    <w:p>
      <w:r>
        <w:rPr>
          <w:color w:val="555555"/>
          <w:sz w:val="18"/>
        </w:rPr>
        <w:t xml:space="preserve">Zweites Gesetz über die Krankenversicherung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Krankengeld nach den Vorschriften des Fünften Buches Sozialgesetzbuch erhalten</w:t>
      </w:r>
    </w:p>
    <w:p>
      <w:pPr>
        <w:ind w:left="420"/>
      </w:pPr>
      <w:r>
        <w:t xml:space="preserve">1. die nach § 2 Absatz 1 Nummer 3 versicherungspflichtigen mitarbeitenden Familienangehörigen, die rentenversicherungspflichtig sind,</w:t>
      </w:r>
    </w:p>
    <w:p>
      <w:pPr>
        <w:ind w:left="420"/>
      </w:pPr>
      <w:r>
        <w:t xml:space="preserve">2. die nach § 2 Absatz 1 Nummer 6 Versicherten, soweit sie die Voraussetzungen für eine Versicherungspflicht nach § 5 Absatz 1 Nummer 2 des Fünften Buches Sozialgesetzbuch erfüllen,</w:t>
      </w:r>
    </w:p>
    <w:p>
      <w:pPr>
        <w:ind w:left="420"/>
      </w:pPr>
      <w:r>
        <w:t xml:space="preserve">3. die nach § 3 Absatz 2 Nummer 1 Versicherten, wenn die Arbeitsunfähigkeit während der Dauer des Beschäftigungsverhältnisses eingetreten ist, und</w:t>
      </w:r>
    </w:p>
    <w:p>
      <w:pPr>
        <w:ind w:left="420"/>
      </w:pPr>
      <w:r>
        <w:t xml:space="preserve">4. freiwillig versicherte Arbeitnehmer, die die Voraussetzungen nach § 6 Absatz 1 Nummer 1 des Fünften Buches Sozialgesetzbuch erfüllen.</w:t>
      </w:r>
    </w:p>
    <w:p>
      <w:r>
        <w:t xml:space="preserve">In den Fällen des Satzes 1 Nummer 3 und 4 wird der Bemessung des Krankengeldes nur das Arbeitsentgelt zugrunde gelegt; die Gewährung von Krankengeld schließt die Gewährung von Leistungen nach § 9 nicht aus.</w:t>
      </w:r>
    </w:p>
    <w:p>
      <w:r>
        <w:rPr>
          <w:color w:val="555555"/>
          <w:sz w:val="17"/>
        </w:rPr>
        <w:t xml:space="preserve">Zitiervorschlag: § 12 KVLG 1989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https://recht.nulegal.eu/gesetze/KVLG%201989/12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