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§ 5 KVKG</w:t>
      </w:r>
    </w:p>
    <w:p>
      <w:r>
        <w:rPr>
          <w:color w:val="555555"/>
          <w:sz w:val="18"/>
        </w:rPr>
        <w:t xml:space="preserve">Krankenversicherungs-Kostendämpfungsgesetz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Vereinbarungen nach § 368f Abs. 3 der Reichsversicherungsordnung sind erstmalig mit Wirkung vom 1. Juli 1978 zu treffen; hierbei ist von der Höhe der Gesamtvergütungen der beteiligten Krankenkassen im Jahre 1977 auszugehen. Bis zu diesem Zeitpunkt gelten die bestehenden Vergütungsregelungen fort.</w:t>
      </w:r>
    </w:p>
    <w:p>
      <w:r>
        <w:t xml:space="preserve">(2) Vereinbarungen nach § 368f Abs. 6 der Reichsversicherungsordnung sind erstmalig mit Wirkung vom 1. Juli 1978 unter Zugrundelegung des Durchschnitts der Aufwendungen der beteiligten Krankenkassen für Arzneimittel im Jahre 1977 zu treffen.</w:t>
      </w:r>
    </w:p>
    <w:p>
      <w:r>
        <w:rPr>
          <w:color w:val="555555"/>
          <w:sz w:val="17"/>
        </w:rPr>
        <w:t xml:space="preserve">Zitiervorschlag: Art 2 § 5 KVKG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https://recht.nulegal.eu/gesetze/KVKG/2-5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