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3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vor dem Inkrafttreten dieses Gesetzes eine Rente aus der gesetzlichen Rentenversicherung beantragt haben, können erklären, daß die Mitgliedschaft nach § 306 Abs. 2 oder § 315a der Reichsversicherungsordnung bis zum Ende des Monats unterbrochen ist, in dem der Rentenbescheid zugestellt wird.</w:t>
      </w:r>
    </w:p>
    <w:p>
      <w:r>
        <w:t xml:space="preserve">(2) Personen, die vor dem Inkrafttreten dieses Gesetzes Altersgeld, vorzeitiges Altersgeld oder Landabgaberente beantragt haben, können erklären, daß die Mitgliedschaft nach § 47 Nr. 4 oder § 49 des Gesetzes über die Krankenversicherung der Landwirte bis zum Ende des Monats unterbrochen ist, in dem der die beantragte Leistung gewährende Bescheid zugestellt wird.</w:t>
      </w:r>
    </w:p>
    <w:p>
      <w:r>
        <w:t xml:space="preserve">(3) Die Erklärung nach Absatz 1 oder 2 kann binnen drei Monaten nach dem Inkrafttreten dieses Gesetzes bei dem zuständigen Träger der Krankenversicherung abgegeben werden.</w:t>
      </w:r>
    </w:p>
    <w:p>
      <w:r>
        <w:rPr>
          <w:color w:val="555555"/>
          <w:sz w:val="17"/>
        </w:rPr>
        <w:t xml:space="preserve">Zitiervorschlag: Art 2 § 3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