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17 KVKG</w:t>
      </w:r>
    </w:p>
    <w:p>
      <w:r>
        <w:rPr>
          <w:color w:val="555555"/>
          <w:sz w:val="18"/>
        </w:rPr>
        <w:t xml:space="preserve">Krankenversicherungs-Kostendämpfungsgesetz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mit Ausnahme der in Absatz 2 genannten Vorschriften am 1. Juli 1977 in Kraft.</w:t>
      </w:r>
    </w:p>
    <w:p>
      <w:r>
        <w:t xml:space="preserve">(2) Artikel 1 § 1 Nr. 10 und 40, § 3 Nr. 8, 20 und 21 sowie § 5 tritt am 1. Januar 1978 in Kraft.</w:t>
      </w:r>
    </w:p>
    <w:p>
      <w:r>
        <w:rPr>
          <w:color w:val="555555"/>
          <w:sz w:val="17"/>
        </w:rPr>
        <w:t xml:space="preserve">Zitiervorschlag: Art 2 § 17 KVKG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https://recht.nulegal.eu/gesetze/KVKG/2-17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