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15 KVKG</w:t>
      </w:r>
    </w:p>
    <w:p>
      <w:r>
        <w:rPr>
          <w:color w:val="555555"/>
          <w:sz w:val="18"/>
        </w:rPr>
        <w:t xml:space="preserve">Krankenversicherungs-Kostendämpfungsgesetz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 § 15 KVKG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https://recht.nulegal.eu/gesetze/KVKG/2-15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