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13 KVKG</w:t>
      </w:r>
    </w:p>
    <w:p>
      <w:r>
        <w:rPr>
          <w:color w:val="555555"/>
          <w:sz w:val="18"/>
        </w:rPr>
        <w:t xml:space="preserve">Krankenversicherungs-Kostendämpfungsgesetz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§ 13 KVKG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https://recht.nulegal.eu/gesetze/KVKG/2-13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