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10 KVKG</w:t>
      </w:r>
    </w:p>
    <w:p>
      <w:r>
        <w:rPr>
          <w:color w:val="555555"/>
          <w:sz w:val="18"/>
        </w:rPr>
        <w:t xml:space="preserve">Krankenversicherungs-Kostendämpfungsgesetz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Bis zum Inkrafttreten dieses Gesetzes abgeschlossene Verträge, die eine dem § 368n Abs. 2 Sätze 4 und 5 der Reichsversicherungsordnung entsprechende Versorgung sicherstellen, bleiben unberührt. Sind solche Verträge nicht mit den in § 368n Abs. 2 Satz 4 der Reichsversicherungsordnung genannten Vereinigungen abgeschlossen, so haben diese Vereinigungen innerhalb von sechs Monaten nach Inkrafttreten dieses Gesetzes anstelle der bisherigen Vertragspartner in diese Verträge einzutreten. Ist in den in Sätzen 1 und 2 genannten Verträgen eine höhere als die in § 368n Abs. 2 Sätze 4 und 5 der Reichsversicherungsordnung vorgeschriebene Vergütung vereinbart, so gilt eine solche Vereinbarung unbeschadet der Laufzeit der Verträge so lange fort, bis die Höhe der vereinbarten Vergütung jeweils der Höhe der in § 368n Abs. 2 Sätze 4 und 5 der Reichsversicherungsordnung vorgeschriebenen Vergütung entspricht.</w:t>
      </w:r>
    </w:p>
    <w:p>
      <w:r>
        <w:t xml:space="preserve">(2) § 368n Abs. 5 und 6 der Reichsversicherungsordnung in der bis zum Inkrafttreten dieses Gesetzes geltenden Fassung gilt für bei Inkrafttreten dieses Gesetzes anhängige Prüfungs- und Beschwerdeverfahren bis zu deren Abschluß fort.</w:t>
      </w:r>
    </w:p>
    <w:p>
      <w:r>
        <w:rPr>
          <w:color w:val="555555"/>
          <w:sz w:val="17"/>
        </w:rPr>
        <w:t xml:space="preserve">Zitiervorschlag: Art 2 § 10 KVKG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https://recht.nulegal.eu/gesetze/KVKG/2-10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