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1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wegen des Inkrafttretens dieses Gesetzes nicht mehr nach § 165 Abs. 1 Nr. 3 der Reichsversicherungsordnung versichert ist oder wer bis zum 30. Juni 1978 eine Rente aus der gesetzlichen Rentenversicherung beantragt, gilt als versichert nach § 165 Abs. 1 Nr. 3 der Reichsversicherungsordnung, solange er eine Rente aus der allgemeinen Rentenversicherung bezieht.</w:t>
      </w:r>
    </w:p>
    <w:p>
      <w:r>
        <w:t xml:space="preserve">(2) Wer vor dem Inkrafttreten dieses Gesetzes deswegen nicht nach § 165 Abs. 1 Nr. 3 der Reichsversicherungsordnung versichert war, weil er die in § 165 Abs. 6 der Reichsversicherungsordnung geforderten Voraussetzungen nicht erfüllt hat, gilt als versichert nach § 165 Abs. 1 Nr. 3 der Reichsversicherungsordnung, sobald er die Voraussetzungen nach dem vor dem Inkrafttreten dieses Gesetzes geltenden Recht erfüllt.</w:t>
      </w:r>
    </w:p>
    <w:p>
      <w:r>
        <w:rPr>
          <w:color w:val="555555"/>
          <w:sz w:val="17"/>
        </w:rPr>
        <w:t xml:space="preserve">Zitiervorschlag: Art 2 § 1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