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KVBbgG (Brandenburg) — Organe</w:t>
      </w:r>
    </w:p>
    <w:p>
      <w:r>
        <w:rPr>
          <w:color w:val="555555"/>
          <w:sz w:val="18"/>
        </w:rPr>
        <w:t xml:space="preserve">Gesetz über den Kommunalen Versorgungsverband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Organe des Kommunalen Versorgungsverbandes sind</w:t>
      </w:r>
    </w:p>
    <w:p>
      <w:r>
        <w:t xml:space="preserve">der Verwaltungsrat,</w:t>
      </w:r>
    </w:p>
    <w:p>
      <w:r>
        <w:t xml:space="preserve">der Direktor oder die Direktorin,</w:t>
      </w:r>
    </w:p>
    <w:p>
      <w:r>
        <w:t xml:space="preserve">der Fachausschuss Versorgungskasse,</w:t>
      </w:r>
    </w:p>
    <w:p>
      <w:r>
        <w:t xml:space="preserve">der Fachausschuss Zusatzversorgungskasse.</w:t>
      </w:r>
    </w:p>
    <w:p>
      <w:r>
        <w:rPr>
          <w:color w:val="555555"/>
          <w:sz w:val="17"/>
        </w:rPr>
        <w:t xml:space="preserve">Zitiervorschlag: § 4 KVBbgG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https://recht.nulegal.eu/gesetze/KVBbgG/4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