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KVBbgG (Brandenburg) — Einschränkung von Grundrechten</w:t>
      </w:r>
    </w:p>
    <w:p>
      <w:r>
        <w:rPr>
          <w:color w:val="555555"/>
          <w:sz w:val="18"/>
        </w:rPr>
        <w:t xml:space="preserve">Gesetz über den Kommunalen Versorgungsverband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§ 2 Absatz 5 werden das Grundrecht auf Datenschutz (Artikel 11 Absatz 1 der Verfassung des Landes Brandenburg) und das Grundrecht auf informationelle Selbstbestimmung (Artikel 2 Absatz 1 in Verbindung mit Artikel 1 Absatz 1 des Grundgesetzes) sowie durch § 7 Absatz 1 das Grundrecht der Berufsfreiheit (Artikel 49 Absatz 1 der Verfassung des Landes Brandenburg) eingeschränkt.</w:t>
      </w:r>
    </w:p>
    <w:p>
      <w:r>
        <w:rPr>
          <w:color w:val="555555"/>
          <w:sz w:val="17"/>
        </w:rPr>
        <w:t xml:space="preserve">Zitiervorschlag: § 19 KVBbgG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https://recht.nulegal.eu/gesetze/KVBbgG/19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