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KVBbgG (Brandenburg) — Rechtsbeziehungen aus der Mitgliedschaft</w:t>
      </w:r>
    </w:p>
    <w:p>
      <w:r>
        <w:rPr>
          <w:color w:val="555555"/>
          <w:sz w:val="18"/>
        </w:rPr>
        <w:t xml:space="preserve">Gesetz über den Kommunalen Versorgungsverband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Rechtsbeziehungen zu den Mitgliedern richten sich nach öffentlichem Recht.</w:t>
      </w:r>
    </w:p>
    <w:p>
      <w:r>
        <w:t xml:space="preserve">(2) Durch die Mitgliedschaft werden Rechte und Pflichten nur zwischen der Versorgungskasse des Kommunalen Versorgungsverbandes und den Mitgliedern begründet, soweit nicht durch Gesetz oder Satzung etwas anderes bestimmt ist.</w:t>
      </w:r>
    </w:p>
    <w:p>
      <w:r>
        <w:rPr>
          <w:color w:val="555555"/>
          <w:sz w:val="17"/>
        </w:rPr>
        <w:t xml:space="preserve">Zitiervorschlag: § 11 KVBbgG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https://recht.nulegal.eu/gesetze/KVBbgG/11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