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KVBGGebV</w:t>
      </w:r>
    </w:p>
    <w:p>
      <w:r>
        <w:rPr>
          <w:color w:val="555555"/>
          <w:sz w:val="18"/>
        </w:rPr>
        <w:t xml:space="preserve">Kohleverstromungsbeendigungsgesetz-Gebührenverordnung</w:t>
      </w:r>
    </w:p>
    <w:p>
      <w:r>
        <w:rPr>
          <w:color w:val="555555"/>
          <w:sz w:val="18"/>
        </w:rPr>
        <w:t xml:space="preserve">Historische Fassung: Stand 24.12.2020 bis 01.10.2021. Dies ist nicht die aktuelle Fassung.</w:t>
      </w:r>
    </w:p>
    <w:p>
      <w:r>
        <w:t xml:space="preserve">Auf Grund des § 22 Absatz 4 Satz 1 in Verbindung mit Absatz 1 Satz 2 des Bundesgebührengesetzes vom 7. August 2013 (BGBl. I S. 3154) verordnet das Bundesministerium für Wirtschaft und Energie:</w:t>
      </w:r>
    </w:p>
    <w:p>
      <w:r>
        <w:rPr>
          <w:color w:val="555555"/>
          <w:sz w:val="17"/>
        </w:rPr>
        <w:t xml:space="preserve">Zitiervorschlag: Eingangsformel KVBGGebV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https://recht.nulegal.eu/gesetze/KVBGGebV/eingangsformel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