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KVBGGebV — (zu § 2 Absatz 1)Gebühren- und Auslagenverzeichnis</w:t>
      </w:r>
    </w:p>
    <w:p>
      <w:r>
        <w:rPr>
          <w:color w:val="555555"/>
          <w:sz w:val="18"/>
        </w:rPr>
        <w:t xml:space="preserve">Kohleverstromungsbeendigungsgesetz-Gebührenverordnung</w:t>
      </w:r>
    </w:p>
    <w:p>
      <w:r>
        <w:rPr>
          <w:color w:val="555555"/>
          <w:sz w:val="18"/>
        </w:rPr>
        <w:t xml:space="preserve">Historische Fassung: Stand 24.12.2020 bis 01.10.2021. Dies ist nicht die aktuelle Fassung.</w:t>
      </w:r>
    </w:p>
    <w:p>
      <w:r>
        <w:t xml:space="preserve">(Fundstelle: BGBl. I 2020, 3045)</w:t>
      </w:r>
    </w:p>
    <w:p>
      <w:r>
        <w:t xml:space="preserve">Abschnitt 1Gebühren</w:t>
      </w:r>
    </w:p>
    <w:p>
      <w:r>
        <w:rPr>
          <w:rFonts w:ascii="Courier New" w:hAnsi="Courier New"/>
          <w:sz w:val="17"/>
        </w:rPr>
        <w:t xml:space="preserve">Nummer    Gebührentatbestand    Gebühren in Euro</w:t>
      </w:r>
    </w:p>
    <w:p>
      <w:r>
        <w:rPr>
          <w:rFonts w:ascii="Courier New" w:hAnsi="Courier New"/>
          <w:sz w:val="17"/>
        </w:rPr>
        <w:t xml:space="preserve">1    Gebotsverfahren    </w:t>
      </w:r>
    </w:p>
    <w:p>
      <w:r>
        <w:rPr>
          <w:rFonts w:ascii="Courier New" w:hAnsi="Courier New"/>
          <w:sz w:val="17"/>
        </w:rPr>
        <w:t xml:space="preserve">1.1    Abschließende Entscheidungen gegenüber einzelnen Bietern im Gebotsverfahren nach § 16, § 17 oder § 21 in Verbindung mit § 18 Absatz 8 des Kohleverstromungsbeendigungsgesetzes    5 322,80 bis164 119,50</w:t>
      </w:r>
    </w:p>
    <w:p>
      <w:r>
        <w:rPr>
          <w:rFonts w:ascii="Courier New" w:hAnsi="Courier New"/>
          <w:sz w:val="17"/>
        </w:rPr>
        <w:t xml:space="preserve">1.2    Gebühr bei Rücknahme des Gebots nach § 15 Absatz 1 des Kohleverstromungsbeendigungsgesetzes vor abschließender Entscheidung, aber nach Beginn der sachlichen Bearbeitung    450,65</w:t>
      </w:r>
    </w:p>
    <w:p>
      <w:r>
        <w:rPr>
          <w:rFonts w:ascii="Courier New" w:hAnsi="Courier New"/>
          <w:sz w:val="17"/>
        </w:rPr>
        <w:t xml:space="preserve">2    Härtefallantrag nach § 39 Absatz 1 des Kohleverstromungsbeendigungsgesetzes    </w:t>
      </w:r>
    </w:p>
    <w:p>
      <w:r>
        <w:rPr>
          <w:rFonts w:ascii="Courier New" w:hAnsi="Courier New"/>
          <w:sz w:val="17"/>
        </w:rPr>
        <w:t xml:space="preserve">2.1    Entscheidung über Härtefallantrag    5 153,00 bis50 000,00</w:t>
      </w:r>
    </w:p>
    <w:p>
      <w:r>
        <w:rPr>
          <w:rFonts w:ascii="Courier New" w:hAnsi="Courier New"/>
          <w:sz w:val="17"/>
        </w:rPr>
        <w:t xml:space="preserve">2.2    Gebühr bei Rücknahme des Härtefallantrages vor der Entscheidung, aber nach Beginn der sachlichen Bearbeitung    Gebührenrahmen nach Nummer 2.1, aber höchstens 75 Prozent der Obergrenze</w:t>
      </w:r>
    </w:p>
    <w:p>
      <w:r>
        <w:t xml:space="preserve">Abschnitt 2Auslagen</w:t>
      </w:r>
    </w:p>
    <w:p>
      <w:r>
        <w:t xml:space="preserve">Die Erhebung von Auslagen, die nicht bereits in die Bemessung der Gebühren nach Abschnitt 1 einbezogen worden sind, erfolgt nach Maßgabe des § 12 Absatz 1 des Bundesgebührengesetzes. Danach werden in der tatsächlich entstandenen Höhe erhoben die Kosten für:</w:t>
      </w:r>
    </w:p>
    <w:p>
      <w:r>
        <w:rPr>
          <w:rFonts w:ascii="Courier New" w:hAnsi="Courier New"/>
          <w:sz w:val="17"/>
        </w:rPr>
        <w:t xml:space="preserve">Nummer    Auslagentatbestand    Auslagen in Euro</w:t>
      </w:r>
    </w:p>
    <w:p>
      <w:r>
        <w:rPr>
          <w:rFonts w:ascii="Courier New" w:hAnsi="Courier New"/>
          <w:sz w:val="17"/>
        </w:rPr>
        <w:t xml:space="preserve">1    Zeugen, Sachverständige, Umweltgutachter, Dolmetscher oder Übersetzer    In tatsächlich entstandener Höhe</w:t>
      </w:r>
    </w:p>
    <w:p>
      <w:r>
        <w:rPr>
          <w:rFonts w:ascii="Courier New" w:hAnsi="Courier New"/>
          <w:sz w:val="17"/>
        </w:rPr>
        <w:t xml:space="preserve">2    Leistungen anderer Behörden und Dritter    In tatsächlich entstandener Höhe</w:t>
      </w:r>
    </w:p>
    <w:p>
      <w:r>
        <w:rPr>
          <w:rFonts w:ascii="Courier New" w:hAnsi="Courier New"/>
          <w:sz w:val="17"/>
        </w:rPr>
        <w:t xml:space="preserve">3    Dienstreisen und Dienstgänge    In tatsächlich entstandener Höhe</w:t>
      </w:r>
    </w:p>
    <w:p>
      <w:r>
        <w:rPr>
          <w:rFonts w:ascii="Courier New" w:hAnsi="Courier New"/>
          <w:sz w:val="17"/>
        </w:rPr>
        <w:t xml:space="preserve">4    Zustellung oder öffentliche Bekanntmachung    In tatsächlich entstandener Höhe</w:t>
      </w:r>
    </w:p>
    <w:p>
      <w:r>
        <w:rPr>
          <w:rFonts w:ascii="Courier New" w:hAnsi="Courier New"/>
          <w:sz w:val="17"/>
        </w:rPr>
        <w:t xml:space="preserve">5    Ausfertigungen und Papierkopien, die auf besonderen Antrag erstellt werden    In tatsächlich entstandener Höhe</w:t>
      </w:r>
    </w:p>
    <w:p>
      <w:r>
        <w:rPr>
          <w:color w:val="555555"/>
          <w:sz w:val="17"/>
        </w:rPr>
        <w:t xml:space="preserve">Zitiervorschlag: Anlage KVBGGebV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https://recht.nulegal.eu/gesetze/KVBGGebV/anlage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