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KVBGGebV — Inkrafttreten</w:t>
      </w:r>
    </w:p>
    <w:p>
      <w:r>
        <w:rPr>
          <w:color w:val="555555"/>
          <w:sz w:val="18"/>
        </w:rPr>
        <w:t xml:space="preserve">Kohleverstromungsbeendigungsgesetz-Gebührenverordnung</w:t>
      </w:r>
    </w:p>
    <w:p>
      <w:r>
        <w:rPr>
          <w:color w:val="555555"/>
          <w:sz w:val="18"/>
        </w:rPr>
        <w:t xml:space="preserve">Historische Fassung: Stand 24.12.2020 bis 01.10.2021.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4 KVBGGebV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https://recht.nulegal.eu/gesetze/KVBGGebV/4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