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KVBGGebV — Höhe der Gebühren und Auslagen</w:t>
      </w:r>
    </w:p>
    <w:p>
      <w:r>
        <w:rPr>
          <w:color w:val="555555"/>
          <w:sz w:val="18"/>
        </w:rPr>
        <w:t xml:space="preserve">Kohleverstromungsbeendigungsgesetz-Gebührenverordnung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(1) Die Höhe der Gebühren und Auslagen richtet sich nach dem Gebühren- und Auslagenverzeichnis der Anlage.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t xml:space="preserve">(3) Auslagen, die nicht im Gebühren- und Auslagenverzeichnis aufgeführt sind, sind mit der Gebühr abgegolten.</w:t>
      </w:r>
    </w:p>
    <w:p>
      <w:r>
        <w:rPr>
          <w:color w:val="555555"/>
          <w:sz w:val="17"/>
        </w:rPr>
        <w:t xml:space="preserve">Zitiervorschlag: § 2 KVBGGebV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