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KVBGGebV — Erhebung von Gebühren und Auslagen</w:t>
      </w:r>
    </w:p>
    <w:p>
      <w:r>
        <w:rPr>
          <w:color w:val="555555"/>
          <w:sz w:val="18"/>
        </w:rPr>
        <w:t xml:space="preserve">Kohleverstromungsbeendigungsgesetz-Gebührenverordnung</w:t>
      </w:r>
    </w:p>
    <w:p>
      <w:r>
        <w:rPr>
          <w:color w:val="555555"/>
          <w:sz w:val="18"/>
        </w:rPr>
        <w:t xml:space="preserve">Historische Fassung: Stand 24.12.2020 bis 01.10.2021. Dies ist nicht die aktuelle Fassung.</w:t>
      </w:r>
    </w:p>
    <w:p>
      <w:r>
        <w:t xml:space="preserve">Die Bundesnetzagentur erhebt für individuell zurechenbare öffentliche Leistungen der Bundesnetzagentur nach dem Kohleverstromungsbeendigungsgesetz vom 8. August 2020 (BGBl. I S. 1818) Gebühren und Auslagen.</w:t>
      </w:r>
    </w:p>
    <w:p>
      <w:r>
        <w:rPr>
          <w:color w:val="555555"/>
          <w:sz w:val="17"/>
        </w:rPr>
        <w:t xml:space="preserve">Zitiervorschlag: § 1 KVBGGebV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