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KVBG — Beschleunigtes Verfahren zur Erfassung der Steinkohleanlagen</w:t>
      </w:r>
    </w:p>
    <w:p>
      <w:r>
        <w:rPr>
          <w:color w:val="555555"/>
          <w:sz w:val="18"/>
        </w:rPr>
        <w:t xml:space="preserve">Kohleverstromungsbeendigungsgesetz</w:t>
      </w:r>
    </w:p>
    <w:p>
      <w:r>
        <w:rPr>
          <w:color w:val="555555"/>
          <w:sz w:val="18"/>
        </w:rPr>
        <w:t xml:space="preserve">Stand: 14.08.2020 (konsolidierte Textfassung, kein amtliches Inkrafttretensdatum)</w:t>
      </w:r>
    </w:p>
    <w:p>
      <w:r>
        <w:t xml:space="preserve">(1) Die Bundesnetzagentur veröffentlicht zur Ermittlung des Ausgangsniveaus für die Ausschreibungen für die Zieldaten 2022 und 2023 auf Grundlage des Monitorings nach § 35 Absatz 1 des Energiewirtschaftsgesetzes spätestens fünf Monate vor dem jeweiligen Gebotstermin, beginnend spätestens mit dem 30. September 2020, eine Liste der Steinkohleanlagen in Deutschland, die eine rechtswirksame Genehmigung nach den §§ 4 bis 6 des Bundes-Immissionsschutzgesetzes in der Fassung der Bekanntmachung vom 17. Mai 2013 (BGBl. I S. 1274), das zuletzt durch Artikel 1 des Gesetzes vom 8. April 2019 (BGBl. I S. 432) geändert worden ist, zur Verfeuerung von Steinkohle zum Zweck der Erzeugung elektrischer Energie haben, mit folgenden Angaben auf ihrer Internetseite:</w:t>
      </w:r>
    </w:p>
    <w:p>
      <w:pPr>
        <w:ind w:left="420"/>
      </w:pPr>
      <w:r>
        <w:t xml:space="preserve">1. den Namen,</w:t>
      </w:r>
    </w:p>
    <w:p>
      <w:pPr>
        <w:ind w:left="420"/>
      </w:pPr>
      <w:r>
        <w:t xml:space="preserve">2. die Adresse,</w:t>
      </w:r>
    </w:p>
    <w:p>
      <w:pPr>
        <w:ind w:left="420"/>
      </w:pPr>
      <w:r>
        <w:t xml:space="preserve">3. die Zuordnung zu einem Hauptenergieträger und</w:t>
      </w:r>
    </w:p>
    <w:p>
      <w:pPr>
        <w:ind w:left="420"/>
      </w:pPr>
      <w:r>
        <w:t xml:space="preserve">4. die Nettonennleistung.</w:t>
      </w:r>
    </w:p>
    <w:p>
      <w:r>
        <w:t xml:space="preserve">Bereits endgültig nach § 13b Absatz 3 Satz 2 des Energiewirtschaftsgesetzes stillgelegte Erzeugungsanlagen sind von der Erhebung ausgenommen.</w:t>
      </w:r>
    </w:p>
    <w:p>
      <w:r>
        <w:t xml:space="preserve">(2) Soweit für Steinkohleanlagen eine Korrektur oder Ergänzung der zugrunde gelegten Angaben nach Absatz 1 erforderlich ist, muss der Anlagenbetreiber, der dem Monitoring nach § 35 Absatz 1 des Energiewirtschaftsgesetzes unterliegt, die Angaben sowie die entsprechenden Unterlagen, aus denen sich der Korrekturbedarf oder die Ergänzung ergibt, innerhalb einer Frist von zwei Wochen ab Veröffentlichung der Angaben nach Absatz 1 an die Bundesnetzagentur übermitteln. Anlagenbetreiber, die nicht vom Monitoring nach § 35 Absatz 1 des Energiewirtschaftsgesetzes erfasst sind, müssen die Daten nach Absatz 1 nach Aufforderung durch die Bundesnetzagentur unmittelbar oder ohne Aufforderung innerhalb einer Frist von zwei Wochen ab Veröffentlichung der Angaben nach Absatz 1 an die Bundesnetzagentur übermitteln. Die Angaben nach den Sätzen 1 und 2 sind verbindlich, vorbehaltlich der wirksamen Zuordnung zu Dampfsammelschienenblöcken nach § 13.</w:t>
      </w:r>
    </w:p>
    <w:p>
      <w:r>
        <w:rPr>
          <w:color w:val="555555"/>
          <w:sz w:val="17"/>
        </w:rPr>
        <w:t xml:space="preserve">Zitiervorschlag: § 8 KVBG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https://recht.nulegal.eu/gesetze/KVBG/8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