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KVBG — Ermittlung des Ausgangsniveaus durch die Bundesnetzagentur</w:t>
      </w:r>
    </w:p>
    <w:p>
      <w:r>
        <w:rPr>
          <w:color w:val="555555"/>
          <w:sz w:val="18"/>
        </w:rPr>
        <w:t xml:space="preserve">Kohleverstromungsbeendigungsgesetz</w:t>
      </w:r>
    </w:p>
    <w:p>
      <w:r>
        <w:rPr>
          <w:color w:val="555555"/>
          <w:sz w:val="18"/>
        </w:rPr>
        <w:t xml:space="preserve">Stand: 21.10.2021 (konsolidierte Textfassung, kein amtliches Inkrafttretensdatum)</w:t>
      </w:r>
    </w:p>
    <w:p>
      <w:r>
        <w:t xml:space="preserve">(1) Die Bundesnetzagentur ermittelt vor jedem Gebots- oder Anordnungstermin das Ausgangsniveau für die Ausschreibungen und für die gesetzliche Reduzierung für das jeweils nächste Zieldatum, indem sie das Verfahren nach den folgenden Absätzen durchführt.</w:t>
      </w:r>
    </w:p>
    <w:p>
      <w:r>
        <w:t xml:space="preserve">(2) Zur Ermittlung des Ausgangsniveaus wird zunächst die Summe der Nettonennleistung der Steinkohleanlagen mit Genehmigung zur Kohleverstromung ermittelt</w:t>
      </w:r>
    </w:p>
    <w:p>
      <w:pPr>
        <w:ind w:left="420"/>
      </w:pPr>
      <w:r>
        <w:t xml:space="preserve">1. für die Zieldaten 2022 und 2023, indem die Bundesnetzagentur die Nettonennleistung der im beschleunigten Verfahren nach § 8 ermittelten Kraftwerke addiert und</w:t>
      </w:r>
    </w:p>
    <w:p>
      <w:pPr>
        <w:ind w:left="420"/>
      </w:pPr>
      <w:r>
        <w:t xml:space="preserve">2. für die Zieldaten ab dem Zieldatum 2024, indem die Bundesnetzagentur die Nettonennleistung der Kraftwerke auf der Liste nach § 29 Absatz 4 in Verbindung mit § 32 addiert.</w:t>
      </w:r>
    </w:p>
    <w:p>
      <w:r>
        <w:t xml:space="preserve">(3) Von der Summe der nach Absatz 2 ermittelten installierten Nettonennleistung subtrahiert die Bundesnetzagentur die Summe der Nettonennleistung der Steinkohleanlagen,</w:t>
      </w:r>
    </w:p>
    <w:p>
      <w:pPr>
        <w:ind w:left="420"/>
      </w:pPr>
      <w:r>
        <w:t xml:space="preserve">1. die ihre immissionsschutzrechtliche Genehmigung nach den §§ 4 bis 6 des Bundes-Immissionsschutzgesetzes verloren haben,</w:t>
      </w:r>
    </w:p>
    <w:p>
      <w:pPr>
        <w:ind w:left="420"/>
      </w:pPr>
      <w:r>
        <w:t xml:space="preserve">2. für die eine verbindliche Stilllegung nach § 9 Absatz 1 Nummer 1 oder ein verbindliches Verbot der Kohleverfeuerung nach § 9 Absatz 1 Nummer 2 angezeigt wurde, wenn die Stilllegung oder das Verbot der Kohleverfeuerung vor oder zu dem jeweiligen Zieldatum wirksam wird,</w:t>
      </w:r>
    </w:p>
    <w:p>
      <w:pPr>
        <w:ind w:left="420"/>
      </w:pPr>
      <w:r>
        <w:t xml:space="preserve">3. für die eine endgültige Stilllegung nach § 13b des Energiewirtschaftsgesetzes angezeigt wurde und denen eine endgültige Stilllegung nach § 13b Absatz 5 des Energiewirtschaftsgesetzes verboten wurde,</w:t>
      </w:r>
    </w:p>
    <w:p>
      <w:pPr>
        <w:ind w:left="420"/>
      </w:pPr>
      <w:r>
        <w:t xml:space="preserve">4. die nach § 18 der Kapazitätsreserveverordnung vom 28. Januar 2019 (BGBl. I S. 58) einen Zuschlag erhalten haben und für die ein wirksamer Vertrag im Rahmen der Kapazitätsreserve dadurch zustande gekommen ist, dass die Zweitsicherheit nach § 10 Absatz 2 der Kapazitätsreserveverordnung fristgerecht geleistet worden ist, wenn der Erbringungszeitraum zum Zieldatum bereits begonnen hat; dies ist auch anzuwenden, wenn die vertragliche Verpflichtung bereits beendet wurde,</w:t>
      </w:r>
    </w:p>
    <w:p>
      <w:pPr>
        <w:ind w:left="420"/>
      </w:pPr>
      <w:r>
        <w:t xml:space="preserve">5. denen ein Zuschlag nach § 21 erteilt wurde,</w:t>
      </w:r>
    </w:p>
    <w:p>
      <w:pPr>
        <w:ind w:left="420"/>
      </w:pPr>
      <w:r>
        <w:t xml:space="preserve">6. denen die gesetzliche Reduzierung nach § 35 angeordnet wurde,</w:t>
      </w:r>
    </w:p>
    <w:p>
      <w:pPr>
        <w:ind w:left="420"/>
      </w:pPr>
      <w:r>
        <w:t xml:space="preserve">7. für die zum Zeitpunkt der Ermittlung des Ausgangsniveaus ein Antrag auf Zulassung für den Kohleersatzbonus nach § 7 Absatz 2 des Kraft-Wärme-Kopplungsgesetzes in der am 13. August 2020 geltenden Fassung oder nach § 7c des Kraft-Wärme-Kopplungsgesetzes beim Bundesamt für Wirtschaft und Ausfuhrkontrolle gestellt und bereits eine Zulassung durch das Bundesamt für Wirtschaft und Ausfuhrkontrolle erteilt und nicht zurückgenommen wurde und</w:t>
      </w:r>
    </w:p>
    <w:p>
      <w:pPr>
        <w:ind w:left="420"/>
      </w:pPr>
      <w:r>
        <w:t xml:space="preserve">8. die nach § 51 Absatz 5 vor oder zu dem jeweiligen Zieldatum keine Kohle mehr verfeuern dürfen.</w:t>
      </w:r>
    </w:p>
    <w:p>
      <w:r>
        <w:t xml:space="preserve">(4) Für die Ermittlung der Steinkohleanlagen nach den Absätzen 2 und 3 bezieht die Bundesnetzagentur alle Informationen ein, die bis einen Monat vor der Bekanntmachung der Ausschreibung nach § 11 oder der Anordnung der gesetzlichen Reduzierung nach § 35 bei ihr eingegangen sind. Erfolgt die Bekanntmachung der Ausschreibung nach § 11 vor dem Zuschlagstermin der vorherigen Ausschreibung, berücksichtigt die Bundesnetzagentur bei der Berichtigung des Ausschreibungsvolumens nach § 11 Absatz 1 Satz 4 Informationen nach Absatz 3 Nummer 5 bis zum Zuschlagstermin der vorherigen Ausschreibung.</w:t>
      </w:r>
    </w:p>
    <w:p>
      <w:r>
        <w:t xml:space="preserve">(5) Abweichend von den Absätzen 1 bis 4 findet in den verkürzten Verfahren in den Jahren 2020 und 2021 keine Ermittlung des Ausgangsniveaus statt.</w:t>
      </w:r>
    </w:p>
    <w:p>
      <w:r>
        <w:rPr>
          <w:color w:val="555555"/>
          <w:sz w:val="17"/>
        </w:rPr>
        <w:t xml:space="preserve">Zitiervorschlag: § 7 KVBG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https://recht.nulegal.eu/gesetze/KVBG/7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