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66 KVBG — Fristen und Termine</w:t>
      </w:r>
    </w:p>
    <w:p>
      <w:r>
        <w:rPr>
          <w:color w:val="555555"/>
          <w:sz w:val="18"/>
        </w:rPr>
        <w:t xml:space="preserve">Kohleverstromungsbeendigungsgesetz</w:t>
      </w:r>
    </w:p>
    <w:p>
      <w:r>
        <w:rPr>
          <w:color w:val="555555"/>
          <w:sz w:val="18"/>
        </w:rPr>
        <w:t xml:space="preserve">Stand: 14.08.2020 (konsolidierte Textfassung, kein amtliches Inkrafttretensdatum)</w:t>
      </w:r>
    </w:p>
    <w:p>
      <w:r>
        <w:t xml:space="preserve">Für die Berechnung von Fristen und für die Bestimmung von Terminen ist § 31 des Verwaltungsverfahrensgesetzes entsprechend anzuwenden, soweit nicht durch dieses Gesetz etwas anderes bestimmt ist.</w:t>
      </w:r>
    </w:p>
    <w:p>
      <w:r>
        <w:rPr>
          <w:color w:val="555555"/>
          <w:sz w:val="17"/>
        </w:rPr>
        <w:t xml:space="preserve">Zitiervorschlag: § 66 KVBG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https://recht.nulegal.eu/gesetze/KVBG/66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66 KVBG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