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64 KVBG — Rechtsschutz</w:t>
      </w:r>
    </w:p>
    <w:p>
      <w:r>
        <w:rPr>
          <w:color w:val="555555"/>
          <w:sz w:val="18"/>
        </w:rPr>
        <w:t xml:space="preserve">Kohleverstromungsbeendigungsgesetz</w:t>
      </w:r>
    </w:p>
    <w:p>
      <w:r>
        <w:rPr>
          <w:color w:val="555555"/>
          <w:sz w:val="18"/>
        </w:rPr>
        <w:t xml:space="preserve">Stand: 14.08.2020 (konsolidierte Textfassung, kein amtliches Inkrafttretensdatum)</w:t>
      </w:r>
    </w:p>
    <w:p>
      <w:r>
        <w:t xml:space="preserve">(1) Soweit dieses Gesetz nichts anderes bestimmt, sind für Rechtsbehelfe, die sich gegen Entscheidungen der Bundesnetzagentur nach diesem Gesetz und den aufgrund dieses Gesetzes erlassenen Rechtsverordnungen richten, die Bestimmungen des Teils 8 des Energiewirtschaftsgesetzes mit Ausnahme des § 69 Absatz 1 Satz 2 und Absatz 10, der §§ 91 und 95 bis 101 sowie § 105 des Energiewirtschaftsgesetzes entsprechend anzuwenden.</w:t>
      </w:r>
    </w:p>
    <w:p>
      <w:r>
        <w:t xml:space="preserve">(2) Gerichtliche Rechtsbehelfe, die unmittelbar das Ausschreibungsverfahren nach Teil 3 betreffen, sind nur mit dem Ziel zulässig, die Bundesnetzagentur zur Erteilung eines Zuschlags zu verpflichten. Die Anfechtung eines Zuschlags durch Dritte ist nicht zulässig. Rechtsbehelfe nach Satz 1 sind begründet, soweit der Beschwerdeführer im Ausschreibungsverfahren nach Teil 3 ohne den Rechtsverstoß einen Zuschlag erhalten hätte. Die Bundesnetzagentur erteilt bei einem Rechtsbehelf nach Satz 1 über das nach diesem Gesetz bestimmte Ausschreibungsvolumen hinaus einen entsprechenden Zuschlag, soweit das Begehren des Rechtsbehelfsführers Erfolg hat und sobald die gerichtliche Entscheidung formell rechtskräftig ist. Im Übrigen bleibt der gerichtliche Rechtsschutz unberührt.</w:t>
      </w:r>
    </w:p>
    <w:p>
      <w:r>
        <w:t xml:space="preserve">(3) Über einen gerichtlichen Rechtsbehelf, der sich gegen die Reihung nach § 29 Absatz 4 richtet, entscheidet durch unanfechtbaren Beschluss das nach Absatz 1 zuständige Oberlandesgericht.</w:t>
      </w:r>
    </w:p>
    <w:p>
      <w:r>
        <w:rPr>
          <w:color w:val="555555"/>
          <w:sz w:val="17"/>
        </w:rPr>
        <w:t xml:space="preserve">Zitiervorschlag: § 64 KVBG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https://recht.nulegal.eu/gesetze/KVBG/64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