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63 KVBG — Gebühren und Auslagen</w:t>
      </w:r>
    </w:p>
    <w:p>
      <w:r>
        <w:rPr>
          <w:color w:val="555555"/>
          <w:sz w:val="18"/>
        </w:rPr>
        <w:t xml:space="preserve">Kohleverstromungsbeendigungsgesetz</w:t>
      </w:r>
    </w:p>
    <w:p>
      <w:r>
        <w:rPr>
          <w:color w:val="555555"/>
          <w:sz w:val="18"/>
        </w:rPr>
        <w:t xml:space="preserve">Stand: 14.08.2020 (konsolidierte Textfassung, kein amtliches Inkrafttretensdatum)</w:t>
      </w:r>
    </w:p>
    <w:p>
      <w:r>
        <w:t xml:space="preserve">Für individuell zurechenbare öffentliche Leistungen der Bundesnetzagentur nach diesem Gesetz werden durch die Bundesnetzagentur Gebühren und Auslagen erhoben. § 61 Absatz 3 Satz 1 ist entsprechend anzuwenden.</w:t>
      </w:r>
    </w:p>
    <w:p>
      <w:r>
        <w:rPr>
          <w:color w:val="555555"/>
          <w:sz w:val="17"/>
        </w:rPr>
        <w:t xml:space="preserve">Zitiervorschlag: § 63 KVBG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https://recht.nulegal.eu/gesetze/KVBG/63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