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KVBG — Ermittlung des Ausschreibungsvolumens und des Umfangs der gesetzlichen Reduzierung</w:t>
      </w:r>
    </w:p>
    <w:p>
      <w:r>
        <w:rPr>
          <w:color w:val="555555"/>
          <w:sz w:val="18"/>
        </w:rPr>
        <w:t xml:space="preserve">Kohleverstromungsbeendigungsgesetz</w:t>
      </w:r>
    </w:p>
    <w:p>
      <w:r>
        <w:rPr>
          <w:color w:val="555555"/>
          <w:sz w:val="18"/>
        </w:rPr>
        <w:t xml:space="preserve">Stand: 21.10.2021 (konsolidierte Textfassung, kein amtliches Inkrafttretensdatum)</w:t>
      </w:r>
    </w:p>
    <w:p>
      <w:r>
        <w:t xml:space="preserve">(1) Die Bundesnetzagentur ermittelt nach Absatz 2 ausschließlich im öffentlichen Interesse für jeden Gebotstermin das Ausschreibungsvolumen und für jeden Anordnungstermin die Reduktionsmenge für die gesetzliche Reduzierung der Steinkohleverstromung.</w:t>
      </w:r>
    </w:p>
    <w:p>
      <w:r>
        <w:t xml:space="preserve">(2) Das zu ermittelnde Ausschreibungsvolumen und die zu ermittelnde Reduktionsmenge nach Absatz 1 in Megawatt Nettonennleistung ist die Differenz zwischen dem Ausgangsniveau nach § 7 für das jeweilige Zieldatum und dem Zielniveau an Steinkohleanlagen am Strommarkt nach § 4 für das jeweilige Zieldatum.</w:t>
      </w:r>
    </w:p>
    <w:p>
      <w:r>
        <w:t xml:space="preserve">(3) Abweichend von den Absätzen 1 und 2 erfolgt in den verkürzten Verfahren für die Jahre 2020 und 2021 keine Ermittlung des Ausschreibungsvolumens. Das Ausschreibungsvolumen für die Ausschreibung im verkürzten Verfahren für das Jahr 2020 beträgt 4 Gigawatt Nettonennleistung und das Ausschreibungsvolumen für die Ausschreibung im verkürzten Verfahren für das Jahr 2021 beträgt 1,5 Gigawatt Nettonennleistung.</w:t>
      </w:r>
    </w:p>
    <w:p>
      <w:r>
        <w:t xml:space="preserve">(4) In den Ausschreibungen für das Zieldatum 2023, das Zieldatum 2024 und das Zieldatum 2025 wird zu dem nach den Absätzen 1 und 2 ermittelten Ausschreibungsvolumen jeweils 1 Gigawatt addiert.</w:t>
      </w:r>
    </w:p>
    <w:p>
      <w:r>
        <w:rPr>
          <w:color w:val="555555"/>
          <w:sz w:val="17"/>
        </w:rPr>
        <w:t xml:space="preserve">Zitiervorschlag: § 6 KVBG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https://recht.nulegal.eu/gesetze/KVBG/6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KVBG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