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KVBG — Bestehende Genehmigungen</w:t>
      </w:r>
    </w:p>
    <w:p>
      <w:r>
        <w:rPr>
          <w:color w:val="555555"/>
          <w:sz w:val="18"/>
        </w:rPr>
        <w:t xml:space="preserve">Kohleverstromungsbeendigungsgesetz</w:t>
      </w:r>
    </w:p>
    <w:p>
      <w:r>
        <w:rPr>
          <w:color w:val="555555"/>
          <w:sz w:val="18"/>
        </w:rPr>
        <w:t xml:space="preserve">Stand: 14.08.2020 (konsolidierte Textfassung, kein amtliches Inkrafttretensdatum)</w:t>
      </w:r>
    </w:p>
    <w:p>
      <w:r>
        <w:t xml:space="preserve">Die für den Vollzug des Bundes-Immissionsschutzgesetzes zuständige Behörde ergreift die zur Umsetzung des Verbots der Kohleverfeuerung unter Berücksichtigung eines notwendigen Weiterbetriebs nach § 13b oder § 13e des Energiewirtschaftsgesetzes notwendigen Maßnahmen. Die §§ 15, 16, 17, 20 und 21 Absatz 1 bis 3 des Bundes-Immissionsschutzgesetzes sind entsprechend anzuwenden.</w:t>
      </w:r>
    </w:p>
    <w:p>
      <w:r>
        <w:rPr>
          <w:color w:val="555555"/>
          <w:sz w:val="17"/>
        </w:rPr>
        <w:t xml:space="preserve">Zitiervorschlag: § 59 KVBG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https://recht.nulegal.eu/gesetze/KVBG/59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