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KVBG — Härtefälle</w:t>
      </w:r>
    </w:p>
    <w:p>
      <w:r>
        <w:rPr>
          <w:color w:val="555555"/>
          <w:sz w:val="18"/>
        </w:rPr>
        <w:t xml:space="preserve">Kohleverstromungsbeendigungsgesetz</w:t>
      </w:r>
    </w:p>
    <w:p>
      <w:r>
        <w:rPr>
          <w:color w:val="555555"/>
          <w:sz w:val="18"/>
        </w:rPr>
        <w:t xml:space="preserve">Stand: 14.08.2020 (konsolidierte Textfassung, kein amtliches Inkrafttretensdatum)</w:t>
      </w:r>
    </w:p>
    <w:p>
      <w:r>
        <w:t xml:space="preserve">(1) Ordnet die Bundesnetzagentur gegenüber einem Anlagenbetreiber die gesetzliche Reduzierung gemäß § 35 Absatz 1 an und stellt die Umsetzung des Verbots der Kohleverfeuerung aufgrund der Anordnung der gesetzlichen Reduzierung innerhalb der Frist nach § 51 Absatz 2 Nummer 2 für ihn eine unzumutbare Härte dar, kann die Bundesnetzagentur auf Antrag des Anlagenbetreibers, für dessen Steinkohleanlage die gesetzliche Reduzierung angeordnet wurde, die Frist nach § 51 Absatz 2 Nummer 2 verlängern, jedoch höchstens bis zum Abschlussdatum für die Kohleverstromung gemäß § 2 Absatz 2 Nummer 3 unter Berücksichtigung einer möglichen Anpassung des Abschlussdatums auf Grundlage der Überprüfung nach § 56.</w:t>
      </w:r>
    </w:p>
    <w:p>
      <w:r>
        <w:t xml:space="preserve">(2) In dem Antrag des Anlagenbetreibers nach Absatz 1 hat dieser darzulegen, weshalb die Anwendung des Kohleverfeuerungsverbots eine unzumutbare Härte darstellt und welche Fristverlängerung notwendig ist, um die unzumutbare Härte auszugleichen. Eine unzumutbare Härte liegt in der Regel vor, wenn der Anlagenbetreiber die bereits begonnene Umrüstung der Steinkohleanlage auf eine Anlage, die in den Anwendungsbereich des Kraft-Wärme-Kopplungsgesetzes fällt, betreibt, diese Umrüstung aber ohne Verschulden des Anlagenbetreibers nicht innerhalb der Frist nach § 51 Absatz 2 Nummer 2 vollendet wird.</w:t>
      </w:r>
    </w:p>
    <w:p>
      <w:r>
        <w:rPr>
          <w:color w:val="555555"/>
          <w:sz w:val="17"/>
        </w:rPr>
        <w:t xml:space="preserve">Zitiervorschlag: § 39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