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KVBG — Steinkohle-Kleinanlagen</w:t>
      </w:r>
    </w:p>
    <w:p>
      <w:r>
        <w:rPr>
          <w:color w:val="555555"/>
          <w:sz w:val="18"/>
        </w:rPr>
        <w:t xml:space="preserve">Kohleverstromungsbeendigungsgesetz</w:t>
      </w:r>
    </w:p>
    <w:p>
      <w:r>
        <w:rPr>
          <w:color w:val="555555"/>
          <w:sz w:val="18"/>
        </w:rPr>
        <w:t xml:space="preserve">Stand: 14.08.2020 (konsolidierte Textfassung, kein amtliches Inkrafttretensdatum)</w:t>
      </w:r>
    </w:p>
    <w:p>
      <w:r>
        <w:t xml:space="preserve">§ 20 Absatz 3 ist nicht auf Steinkohle-Kleinanlagen anzuwenden. Für Steinkohle-Kleinanlagen darf abweichend von § 35 Absatz 1 die gesetzliche Reduzierung frühestens zum Zieldatum 2030 angeordnet werden. Für das Zieldatum 2030 wird nur den Steinkohle-Kleinanlagen die gesetzliche Reduzierung angeordnet, die notwendig sind, um das Zielniveau 2030 für die Steinkohle zu erreichen. Bis zum Zieldatum 2029 werden Steinkohle-Kleinanlagen in der Reihung nach den §§ 28, 29 und 32 geführt, aber im Anordnungsverfahren nach § 33 nicht berücksichtigt. Bei der gesetzlichen Reduzierung für die Zieldaten 2031 bis 2038 werden die Steinkohle-Kleinanlagen wie Steinkohleanlagen behandelt.</w:t>
      </w:r>
    </w:p>
    <w:p>
      <w:r>
        <w:rPr>
          <w:color w:val="555555"/>
          <w:sz w:val="17"/>
        </w:rPr>
        <w:t xml:space="preserve">Zitiervorschlag: § 38 KVBG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https://recht.nulegal.eu/gesetze/KVBG/38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