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33 KVBG — Anordnungsverfahren</w:t>
      </w:r>
    </w:p>
    <w:p>
      <w:r>
        <w:rPr>
          <w:color w:val="555555"/>
          <w:sz w:val="18"/>
        </w:rPr>
        <w:t xml:space="preserve">Kohleverstromungsbeendigungsgesetz</w:t>
      </w:r>
    </w:p>
    <w:p>
      <w:r>
        <w:rPr>
          <w:color w:val="555555"/>
          <w:sz w:val="18"/>
        </w:rPr>
        <w:t xml:space="preserve">Stand: 21.10.2021 (konsolidierte Textfassung, kein amtliches Inkrafttretensdatum)</w:t>
      </w:r>
    </w:p>
    <w:p>
      <w:r>
        <w:t xml:space="preserve">(1) Die Bundesnetzagentur ermittelt ab dem Zieldatum 2027 zu jedem Anordnungstermin die Reduktionsmenge nach § 6 für die gesetzliche Reduzierung. Soweit ab der Ausschreibung für das Zieldatum 2024 eine Ausschreibung nach § 20 Absatz 1 unterzeichnet ist, ermittelt die Bundesnetzagentur die Reduktionsmenge nach § 6 nach Maßgabe des § 20 Absatz 2 und 3.</w:t>
      </w:r>
    </w:p>
    <w:p>
      <w:r>
        <w:t xml:space="preserve">(2) Die Bundesnetzagentur bestimmt für jeden Anordnungstermin aus den Steinkohleanlagen der aktualisierten Reihung nach § 32 in aufsteigender Reihenfolge beginnend mit der ältesten so lange nacheinander Steinkohleanlagen, die nicht gemäß § 32 Absatz 1 Satz 2 gekennzeichnet sind, bis die Summe der Nettonennleistung der Steinkohleanlagen den Umfang der Reduktionsmenge für das Zieldatum nach Absatz 1 erstmalig übersteigt. § 18 Absatz 8 Satz 2 ist entsprechend anzuwenden.</w:t>
      </w:r>
    </w:p>
    <w:p>
      <w:r>
        <w:rPr>
          <w:color w:val="555555"/>
          <w:sz w:val="17"/>
        </w:rPr>
        <w:t xml:space="preserve">Zitiervorschlag: § 33 KVBG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https://recht.nulegal.eu/gesetze/KVBG/33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33 KVBG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