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KVBG — Aktualisierung der Reihung, Pflichten der Anlagenbetreiber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21.10.2021 (konsolidierte Textfassung, kein amtliches Inkrafttretensdatum)</w:t>
      </w:r>
    </w:p>
    <w:p>
      <w:r>
        <w:t xml:space="preserve">(1) Die Bundesnetzagentur veröffentlicht eine aktualisierte Fassung der Reihung nach § 29 auf ihrer Internetseite (aktualisierte Reihung) jeweils zum Zeitpunkt der Bekanntmachung der Ausschreibung nach § 11 sowie, beginnend am 1. Juli 2024 und endend spätestens am 1. Juli 2037, jährlich zum 1. Juli. Zur Aktualisierung der Reihung kennzeichnet die Bundesnetzagentur eindeutig die Steinkohleanlagen,</w:t>
      </w:r>
    </w:p>
    <w:p>
      <w:pPr>
        <w:ind w:left="420"/>
      </w:pPr>
      <w:r>
        <w:t xml:space="preserve">1. für die eine verbindliche Stilllegung nach § 9 Absatz 1 Nummer 1 oder ein verbindliches Verbot der Kohleverfeuerung nach § 9 Absatz 1 Nummer 2 angezeigt wurde, wenn die Stilllegung oder das Verbot der Kohleverfeuerung vor oder zu dem jeweiligen Zieldatum wirksam wird,</w:t>
      </w:r>
    </w:p>
    <w:p>
      <w:pPr>
        <w:ind w:left="420"/>
      </w:pPr>
      <w:r>
        <w:t xml:space="preserve">2. die eine endgültige Stilllegung nach § 13b Absatz 1 Satz 1 des Energiewirtschaftsgesetzes angezeigt haben und die endgültig stillgelegt wurden oder denen eine endgültige Stilllegung nach § 13b Absatz 5 des Energiewirtschaftsgesetzes verboten wurde,</w:t>
      </w:r>
    </w:p>
    <w:p>
      <w:pPr>
        <w:ind w:left="420"/>
      </w:pPr>
      <w:r>
        <w:t xml:space="preserve">3. die einen Zuschlag nach § 21 erhalten haben,</w:t>
      </w:r>
    </w:p>
    <w:p>
      <w:pPr>
        <w:ind w:left="420"/>
      </w:pPr>
      <w:r>
        <w:t xml:space="preserve">4. denen die gesetzliche Reduzierung nach § 35 angeordnet wurde,</w:t>
      </w:r>
    </w:p>
    <w:p>
      <w:pPr>
        <w:ind w:left="420"/>
      </w:pPr>
      <w:r>
        <w:t xml:space="preserve">5. die nach § 18 der Kapazitätsreserveverordnung vom 28. Januar 2019 (BGBl. I S. 58) einen Zuschlag erhalten haben und für die ein wirksamer Vertrag im Rahmen der Kapazitätsreserve dadurch zustande gekommen ist, dass die Zweitsicherheit nach § 10 Absatz 2 der Kapazitätsreserveverordnung fristgerecht geleistet worden ist, wenn der Erbringungszeitraum zum Zieldatum bereits begonnen hat; dies ist auch maßgeblich, wenn die vertragliche Verpflichtung bereits beendet wurde,</w:t>
      </w:r>
    </w:p>
    <w:p>
      <w:pPr>
        <w:ind w:left="420"/>
      </w:pPr>
      <w:r>
        <w:t xml:space="preserve">6. die ihre immissionsschutzrechtliche Genehmigung nach den §§ 4 bis 6 des Bundes-Immissionsschutzgesetzes verloren haben oder</w:t>
      </w:r>
    </w:p>
    <w:p>
      <w:pPr>
        <w:ind w:left="420"/>
      </w:pPr>
      <w:r>
        <w:t xml:space="preserve">7. die nach § 51 Absatz 5 vor oder zu dem jeweiligen Zieldatum keine Kohle mehr verfeuern dürfen.</w:t>
      </w:r>
    </w:p>
    <w:p>
      <w:r>
        <w:t xml:space="preserve">(2) Anlagenbetreiber müssen der Bundesnetzagentur eine Aufhebung der immissionsschutzrechtlichen Genehmigung oder deren Unwirksamkeit aus sonstigen Gründen unverzüglich mitteilen.</w:t>
      </w:r>
    </w:p>
    <w:p>
      <w:r>
        <w:t xml:space="preserve">(3) Für die Aktualisierung der Reihung nach Absatz 1 bezieht die Bundesnetzagentur alle Informationen ein, die bis einen Monat vor der Veröffentlichung der aktualisierten Reihung bei ihr eingegangen sind. Die Bundesnetzagentur berichtigt im Fall des § 7 Absatz 4 Satz 2 die jeweilige aktualisierte Reihung nachträglich; dabei berücksichtigt sie Informationen nach Absatz 1 Satz 2 Nummer 3 bis zum Zuschlagstermin der vorherigen Ausschreibung.</w:t>
      </w:r>
    </w:p>
    <w:p>
      <w:r>
        <w:rPr>
          <w:color w:val="555555"/>
          <w:sz w:val="17"/>
        </w:rPr>
        <w:t xml:space="preserve">Zitiervorschlag: § 32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