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KVBG — Gesetzliche Reduktionsmenge</w:t>
      </w:r>
    </w:p>
    <w:p>
      <w:r>
        <w:rPr>
          <w:color w:val="555555"/>
          <w:sz w:val="18"/>
        </w:rPr>
        <w:t xml:space="preserve">Kohleverstromungsbeendigungsgesetz</w:t>
      </w:r>
    </w:p>
    <w:p>
      <w:r>
        <w:rPr>
          <w:color w:val="555555"/>
          <w:sz w:val="18"/>
        </w:rPr>
        <w:t xml:space="preserve">Stand: 21.10.2021 (konsolidierte Textfassung, kein amtliches Inkrafttretensdatum)</w:t>
      </w:r>
    </w:p>
    <w:p>
      <w:r>
        <w:t xml:space="preserve">(1) Die Reduktionsschritte der gesetzlichen Reduzierung erfolgen gemäß der nach § 6 für das jeweilige Zieldatum ermittelten gesetzlichen Reduktionsmenge. Für die Zieldaten 2024 bis 2026 erfolgt die gesetzliche Reduzierung nach § 20 Absatz 3 für die nicht bezuschlagten Ausschreibungsmengen.</w:t>
      </w:r>
    </w:p>
    <w:p>
      <w:r>
        <w:t xml:space="preserve">(2) Ergibt die Ermittlung der gesetzlichen Reduktionsmenge nach § 6 für eines der Zieldaten der Jahre 2024 bis spätestens 2038, dass die gesetzliche Reduktionsmenge null oder negativ ist, entfällt die Anordnung der gesetzlichen Reduzierung für dieses Zieldatum.</w:t>
      </w:r>
    </w:p>
    <w:p>
      <w:r>
        <w:rPr>
          <w:color w:val="555555"/>
          <w:sz w:val="17"/>
        </w:rPr>
        <w:t xml:space="preserve">Zitiervorschlag: § 28 KVBG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https://recht.nulegal.eu/gesetze/KVBG/28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