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 KVBG — Gesetzliche Reduzierung, Anordnungstermine</w:t>
      </w:r>
    </w:p>
    <w:p>
      <w:r>
        <w:rPr>
          <w:color w:val="555555"/>
          <w:sz w:val="18"/>
        </w:rPr>
        <w:t xml:space="preserve">Kohleverstromungsbeendigungsgesetz</w:t>
      </w:r>
    </w:p>
    <w:p>
      <w:r>
        <w:rPr>
          <w:color w:val="555555"/>
          <w:sz w:val="18"/>
        </w:rPr>
        <w:t xml:space="preserve">Stand: 21.10.2021 (konsolidierte Textfassung, kein amtliches Inkrafttretensdatum)</w:t>
      </w:r>
    </w:p>
    <w:p>
      <w:r>
        <w:t xml:space="preserve">(1) Die Bundesnetzagentur legt jeweils 31 Monate vor dem jeweiligen Zieldatum und beginnend für das Zieldatum 2027 durch Anordnung der gesetzlichen Reduzierung nach § 35 Absatz 1 fest, für welche Steinkohleanlagen die gesetzliche Reduzierung der Kohleverstromung jeweils wirksam wird.</w:t>
      </w:r>
    </w:p>
    <w:p>
      <w:r>
        <w:t xml:space="preserve">(2) Abweichend von Absatz 1 legt die Bundesnetzagentur bei Unterzeichnung der Ausschreibung nach § 20 Absatz 3 für die Zieldaten 2024 bis 2026 bereits am Tag der Zuschlagserteilung durch Anordnung der gesetzlichen Reduzierung nach § 35 Absatz 1 fest, für welche Steinkohleanlagen die gesetzliche Reduzierung der Kohleverstromung jeweils wirksam wird.</w:t>
      </w:r>
    </w:p>
    <w:p>
      <w:r>
        <w:rPr>
          <w:color w:val="555555"/>
          <w:sz w:val="17"/>
        </w:rPr>
        <w:t xml:space="preserve">Zitiervorschlag: § 27 KVBG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https://recht.nulegal.eu/gesetze/KVBG/27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 KVBG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