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KVBG — Verhältnis der Steinkohleausschreibung zur Kapazitätsreserve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14.08.2020 (konsolidierte Textfassung, kein amtliches Inkrafttretensdatum)</w:t>
      </w:r>
    </w:p>
    <w:p>
      <w:r>
        <w:t xml:space="preserve">Steinkohleanlagen, denen ein Zuschlag nach § 21 erteilt wurde, dürfen an Beschaffungsverfahren nach § 13e des Energiewirtschaftsgesetzes in Verbindung mit der Kapazitätsreserveverordnung teilnehmen. Im Fall des Zustandekommens eines wirksamen Vertrags nach § 18 der Kapazitätsreserveverordnung bleiben § 3 Absatz 2 der Kapazitätsreserveverordnung und das Vermarktungsverbot nach § 52 Absatz 1 unberührt.</w:t>
      </w:r>
    </w:p>
    <w:p>
      <w:r>
        <w:rPr>
          <w:color w:val="555555"/>
          <w:sz w:val="17"/>
        </w:rPr>
        <w:t xml:space="preserve">Zitiervorschlag: § 25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