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KVBG — Anforderungen an Gebote</w:t>
      </w:r>
    </w:p>
    <w:p>
      <w:r>
        <w:rPr>
          <w:color w:val="555555"/>
          <w:sz w:val="18"/>
        </w:rPr>
        <w:t xml:space="preserve">Kohleverstromungsbeendigungsgesetz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Bieter muss das Gebot in Schriftform abgeben und hierbei jeweils die folgenden Angaben machen:</w:t>
      </w:r>
    </w:p>
    <w:p>
      <w:pPr>
        <w:ind w:left="420"/>
      </w:pPr>
      <w:r>
        <w:t xml:space="preserve">1. Name, Anschrift, Telefonnummer und E-Mail-Adresse des Bieters; sofern der Bieter keine natürliche Person ist, sind auch anzugeben:</w:t>
      </w:r>
    </w:p>
    <w:p>
      <w:pPr>
        <w:ind w:left="780"/>
      </w:pPr>
      <w:r>
        <w:t xml:space="preserve">a) der Unternehmenssitz und</w:t>
      </w:r>
    </w:p>
    <w:p>
      <w:pPr>
        <w:ind w:left="780"/>
      </w:pPr>
      <w:r>
        <w:t xml:space="preserve">b) der Name einer natürlichen Person, die zur Kommunikation mit der Bundesnetzagentur und zur Vertretung des Bieters für alle Handlungen nach diesem Gesetz bevollmächtigt ist (Bevollmächtigter),</w:t>
      </w:r>
    </w:p>
    <w:p>
      <w:pPr>
        <w:ind w:left="420"/>
      </w:pPr>
      <w:r>
        <w:t xml:space="preserve">2. den Namen der Steinkohleanlage, für die das Gebot abgegeben wird,</w:t>
      </w:r>
    </w:p>
    <w:p>
      <w:pPr>
        <w:ind w:left="420"/>
      </w:pPr>
      <w:r>
        <w:t xml:space="preserve">3. die Zuordnung zu Dampfsammelschienenblöcken, soweit die Steinkohleanlage über eine Dampfsammelschiene verfügt und die Zuordnung bei der Gebotsabgabe nach § 13 Absatz 2 mitgeteilt wird,</w:t>
      </w:r>
    </w:p>
    <w:p>
      <w:pPr>
        <w:ind w:left="420"/>
      </w:pPr>
      <w:r>
        <w:t xml:space="preserve">4. den Gebotstermin der Ausschreibung, für die das Gebot abgegeben wird,</w:t>
      </w:r>
    </w:p>
    <w:p>
      <w:pPr>
        <w:ind w:left="420"/>
      </w:pPr>
      <w:r>
        <w:t xml:space="preserve">5. die Gebotsmenge in Megawatt Nettonennleistung mit drei Nachkommastellen,</w:t>
      </w:r>
    </w:p>
    <w:p>
      <w:pPr>
        <w:ind w:left="420"/>
      </w:pPr>
      <w:r>
        <w:t xml:space="preserve">6. den Gebotswert in Euro mit zwei Nachkommastellen pro Megawatt Nettonennleistung,</w:t>
      </w:r>
    </w:p>
    <w:p>
      <w:pPr>
        <w:ind w:left="420"/>
      </w:pPr>
      <w:r>
        <w:t xml:space="preserve">7. den Standort der Steinkohleanlage, auf die sich das Gebot bezieht, mit Angabe von Bundesland, Landkreis, Gemeinde und postalischer Adresse,</w:t>
      </w:r>
    </w:p>
    <w:p>
      <w:pPr>
        <w:ind w:left="420"/>
      </w:pPr>
      <w:r>
        <w:t xml:space="preserve">8. den regelverantwortlichen Betreiber des Übertragungsnetzes, in dessen Regelzone sich die Steinkohleanlage, auf die sich das Gebot bezieht, befindet, sowie den Anschlussnetzbetreiber und die Spannungsebene,</w:t>
      </w:r>
    </w:p>
    <w:p>
      <w:pPr>
        <w:ind w:left="420"/>
      </w:pPr>
      <w:r>
        <w:t xml:space="preserve">9. die Genehmigungsbehörde der Betriebsgenehmigung sowie das Aktenzeichen der Betriebsgenehmigung,</w:t>
      </w:r>
    </w:p>
    <w:p>
      <w:pPr>
        <w:ind w:left="420"/>
      </w:pPr>
      <w:r>
        <w:t xml:space="preserve">10. die gesamten testierten historischen Kohlendioxidemissionen der Steinkohleanlage in den letzten drei abgeschlossenen Kalenderjahren vor dem Gebotstermin in Tonnen ohne Nachkommastellen pro Megawatt Nettonennleistung,</w:t>
      </w:r>
    </w:p>
    <w:p>
      <w:pPr>
        <w:ind w:left="420"/>
      </w:pPr>
      <w:r>
        <w:t xml:space="preserve">11. die Feuerungswärmeleistung der Dampferzeuger und die Dauerwirkleistung der Generatoren der Steinkohleanlage,</w:t>
      </w:r>
    </w:p>
    <w:p>
      <w:pPr>
        <w:ind w:left="420"/>
      </w:pPr>
      <w:r>
        <w:t xml:space="preserve">12. die Kraftwerksnummer, unter der die Steinkohleanlage in der Bundesnetzagentur nach § 35 Absatz 1 des Energiewirtschaftsgesetzes geführt wird, sofern vorhanden, und</w:t>
      </w:r>
    </w:p>
    <w:p>
      <w:pPr>
        <w:ind w:left="420"/>
      </w:pPr>
      <w:r>
        <w:t xml:space="preserve">13. eine aktuelle Bankverbindung.</w:t>
      </w:r>
    </w:p>
    <w:p>
      <w:r>
        <w:t xml:space="preserve">(2) Die Gebotsmenge nach Absatz 1 Nummer 5 muss stets der gesamten Nettonennleistung der Steinkohleanlage entsprechen.</w:t>
      </w:r>
    </w:p>
    <w:p>
      <w:r>
        <w:t xml:space="preserve">(3) Dem Gebot sind Nachweise über das Vorliegen der Voraussetzungen nach Absatz 1 Nummer 10 und § 12 Absatz 1 Satz 2 Nummer 4 bis 7 beizufügen. Gibt ein Bieter in einer Ausschreibung mehrere Gebote für unterschiedliche Steinkohleanlagen ab, muss er die Gebote nummerieren und eindeutig kennzeichnen, welche Nachweise zu welchem Gebot gehören.</w:t>
      </w:r>
    </w:p>
    <w:p>
      <w:r>
        <w:t xml:space="preserve">(4) Die Gebote müssen der Bundesnetzagentur spätestens am jeweiligen Gebotstermin zugehen. Nicht fristgerecht eingegangene Gebote bleiben unberücksichtigt. Gebote müssen den Formatvorgaben nach § 11 Absatz 3 entsprechen, soweit die Bundesnetzagentur Formatvorgaben gemacht hat.</w:t>
      </w:r>
    </w:p>
    <w:p>
      <w:r>
        <w:rPr>
          <w:color w:val="555555"/>
          <w:sz w:val="17"/>
        </w:rPr>
        <w:t xml:space="preserve">Zitiervorschlag: § 14 KVBG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KVBG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