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KVBEVO</w:t>
      </w:r>
    </w:p>
    <w:p>
      <w:r>
        <w:rPr>
          <w:color w:val="555555"/>
          <w:sz w:val="18"/>
        </w:rPr>
        <w:t xml:space="preserve">Krankenversicherungsbeitragsanteil-Ermittlungsverordnung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Absatz 5 und des § 51 Absatz 1 Nummer 3 des Einkommensteuergesetzes in der Fassung der Bekanntmachung vom 19. Oktober 2002 (BGBl. I S. 4210; 2003 I S. 179), von denen § 10 Absatz 5 durch Artikel 1 des Gesetzes vom 16. Juli 2009 (BGBl. I S. 1959) neu gefasst worden ist, verordnet die Bundesregierung:</w:t>
      </w:r>
    </w:p>
    <w:p>
      <w:r>
        <w:rPr>
          <w:color w:val="555555"/>
          <w:sz w:val="17"/>
        </w:rPr>
        <w:t xml:space="preserve">Zitiervorschlag: Eingangsformel KVBEVO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