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KVAV — (zu § 15 Absatz 2 und 3) Berechnung des Grundkopfschadens und der erforderlichen Versicherungsleistungen nach § 15 Absatz 2 und 3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792)</w:t>
      </w:r>
    </w:p>
    <w:p>
      <w:r>
        <w:t xml:space="preserve">A. Tatsächlicher Grundkopfschaden eines Beobachtungsjahres</w:t>
      </w:r>
    </w:p>
    <w:p>
      <w:pPr>
        <w:ind w:left="420"/>
      </w:pPr>
      <w:r>
        <w:t xml:space="preserve">S = abgegrenzter Schaden der Beobachtungseinheit im Beobachtungszeitraum abzüglich der Nettorisikozuschläge und einschließlich der geschlechtsunabhängig verteilten Leistungen wegen Schwangerschaft und Mutterschaft</w:t>
      </w:r>
    </w:p>
    <w:p>
      <w:pPr>
        <w:ind w:left="420"/>
      </w:pPr>
      <w:r>
        <w:t xml:space="preserve">Lx = abgegrenzter mittlerer Bestand der Beobachtungseinheit im Beobachtungszeitraum für das Alter x</w:t>
      </w:r>
    </w:p>
    <w:p>
      <w:pPr>
        <w:ind w:left="420"/>
      </w:pPr>
      <w:r>
        <w:t xml:space="preserve">kx = rechnungsmäßiger Profilwert für das Alter x</w:t>
      </w:r>
    </w:p>
    <w:p>
      <w:r>
        <w:t xml:space="preserve">Tatsächlicher Grundkopfschaden:</w:t>
      </w:r>
    </w:p>
    <w:p>
      <w:r>
        <w:t xml:space="preserve">[Abbildung]</w:t>
      </w:r>
    </w:p>
    <w:p>
      <w:r>
        <w:t xml:space="preserve">Dabei wird über alle Alter x der Beobachtungseinheit summiert. Die Wirkungen von Wartezeit und Selektion sind ausreichend zu berücksichtigen.</w:t>
      </w:r>
    </w:p>
    <w:p>
      <w:r>
        <w:t xml:space="preserve">B. Verfahren zur Berechnung der erforderlichen Versicherungsleistungen</w:t>
      </w:r>
    </w:p>
    <w:p>
      <w:pPr>
        <w:ind w:left="420"/>
      </w:pPr>
      <w:r>
        <w:t xml:space="preserve">t − 2, t − 1, t = die letzten drei Beobachtungszeiträume</w:t>
      </w:r>
    </w:p>
    <w:p>
      <w:pPr>
        <w:ind w:left="420"/>
      </w:pPr>
      <w:r>
        <w:t xml:space="preserve">Gt−2, Gt−1, Gt = tatsächliche Grundkopfschäden gemäß Abschnitt A, umgerechnet auf das Leistungsversprechen, das zum Extrapolationszeitpunkt gültig sein wird, und unter Zugrundelegung der aktuellen rechnungsmäßigen Profile</w:t>
      </w:r>
    </w:p>
    <w:p>
      <w:r>
        <w:t xml:space="preserve">Extrapolierter Grundkopfschaden:</w:t>
      </w:r>
    </w:p>
    <w:p>
      <w:r>
        <w:t xml:space="preserve">[Abbildung]</w:t>
      </w:r>
    </w:p>
    <w:p>
      <w:r>
        <w:t xml:space="preserve">Erforderliche Versicherungsleistungen:</w:t>
      </w:r>
    </w:p>
    <w:p>
      <w:r>
        <w:t xml:space="preserve">[Abbildung]</w:t>
      </w:r>
    </w:p>
    <w:p>
      <w:r>
        <w:t xml:space="preserve">mit Lx und kx gemäß Abschnitt A und Summation über alle Alter x.</w:t>
      </w:r>
    </w:p>
    <w:p>
      <w:r>
        <w:rPr>
          <w:color w:val="555555"/>
          <w:sz w:val="17"/>
        </w:rPr>
        <w:t xml:space="preserve">Zitiervorschlag: Anlage 2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