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KVAV — (zu § 10 Absatz 5, § 11 Absatz 2 und § 13 Absatz 5) Prämienberechnung nach § 10 Absatz 5, § 11 Absatz 2 und § 13 Absatz 5</w:t>
      </w:r>
    </w:p>
    <w:p>
      <w:r>
        <w:rPr>
          <w:color w:val="555555"/>
          <w:sz w:val="18"/>
        </w:rPr>
        <w:t xml:space="preserve">Krankenversicherungsaufsichtsverordnung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2016,790 - 791)</w:t>
      </w:r>
    </w:p>
    <w:p>
      <w:r>
        <w:t xml:space="preserve">A. Prämienberechnung des Neuzugangs</w:t>
      </w:r>
    </w:p>
    <w:p>
      <w:pPr>
        <w:ind w:left="420"/>
      </w:pPr>
      <w:r>
        <w:t xml:space="preserve">x = Alter</w:t>
      </w:r>
    </w:p>
    <w:p>
      <w:pPr>
        <w:ind w:left="420"/>
      </w:pPr>
      <w:r>
        <w:t xml:space="preserve">ω = Endalter der Sterbetafel</w:t>
      </w:r>
    </w:p>
    <w:p>
      <w:pPr>
        <w:ind w:left="420"/>
      </w:pPr>
      <w:r>
        <w:t xml:space="preserve">lx = Anzahl der Lebenden</w:t>
      </w:r>
    </w:p>
    <w:p>
      <w:pPr>
        <w:ind w:left="420"/>
      </w:pPr>
      <w:r>
        <w:t xml:space="preserve">qx = Sterbenswahrscheinlichkeit</w:t>
      </w:r>
    </w:p>
    <w:p>
      <w:pPr>
        <w:ind w:left="420"/>
      </w:pPr>
      <w:r>
        <w:t xml:space="preserve">wx = Stornowahrscheinlichkeit</w:t>
      </w:r>
    </w:p>
    <w:p>
      <w:pPr>
        <w:ind w:left="420"/>
      </w:pPr>
      <w:r>
        <w:t xml:space="preserve">Kx = Kopfschaden</w:t>
      </w:r>
    </w:p>
    <w:p>
      <w:pPr>
        <w:ind w:left="420"/>
      </w:pPr>
      <w:r>
        <w:t xml:space="preserve">αx = einmalige unmittelbare Abschlusskosten, gemessen in Jahresprämien</w:t>
      </w:r>
    </w:p>
    <w:p>
      <w:pPr>
        <w:ind w:left="420"/>
      </w:pPr>
      <w:r>
        <w:t xml:space="preserve">γ = absolute Zuschläge</w:t>
      </w:r>
    </w:p>
    <w:p>
      <w:pPr>
        <w:ind w:left="420"/>
      </w:pPr>
      <w:r>
        <w:t xml:space="preserve">Δ = relative Zuschläge, gemessen in Prozent der Bruttoprämie</w:t>
      </w:r>
    </w:p>
    <w:p>
      <w:pPr>
        <w:ind w:left="420"/>
      </w:pPr>
      <w:r>
        <w:t xml:space="preserve">i = Rechnungszinsfuß</w:t>
      </w:r>
    </w:p>
    <w:p>
      <w:r>
        <w:t xml:space="preserve">Diskontierungsfaktor:</w:t>
      </w:r>
    </w:p>
    <w:p>
      <w:r>
        <w:t xml:space="preserve">[Abbildung]</w:t>
      </w:r>
    </w:p>
    <w:p>
      <w:r>
        <w:t xml:space="preserve">Ausscheideordnung:</w:t>
      </w:r>
    </w:p>
    <w:p>
      <w:r>
        <w:t xml:space="preserve">lx+1 = lx ·(1 – qx – wx)</w:t>
      </w:r>
    </w:p>
    <w:p>
      <w:r>
        <w:t xml:space="preserve">Diskontierte Lebende:</w:t>
      </w:r>
    </w:p>
    <w:p>
      <w:r>
        <w:t xml:space="preserve">Dx = lx · vx</w:t>
      </w:r>
    </w:p>
    <w:p>
      <w:r>
        <w:t xml:space="preserve">Rentenbarwert:</w:t>
      </w:r>
    </w:p>
    <w:p>
      <w:r>
        <w:t xml:space="preserve">[Abbildung]</w:t>
      </w:r>
    </w:p>
    <w:p>
      <w:r>
        <w:t xml:space="preserve">Leistungsbarwert:</w:t>
      </w:r>
    </w:p>
    <w:p>
      <w:r>
        <w:t xml:space="preserve">[Abbildung]</w:t>
      </w:r>
    </w:p>
    <w:p>
      <w:r>
        <w:t xml:space="preserve">Jährliche Nettoprämie:</w:t>
      </w:r>
    </w:p>
    <w:p>
      <w:r>
        <w:t xml:space="preserve">[Abbildung]</w:t>
      </w:r>
    </w:p>
    <w:p>
      <w:r>
        <w:t xml:space="preserve">Jährliche gezillmerte Bruttoprämie:</w:t>
      </w:r>
    </w:p>
    <w:p>
      <w:r>
        <w:t xml:space="preserve">[Abbildung]</w:t>
      </w:r>
    </w:p>
    <w:p>
      <w:r>
        <w:t xml:space="preserve">B. Prämienberechnung bei Prämienanpassungen und Umstufungen</w:t>
      </w:r>
    </w:p>
    <w:p>
      <w:r>
        <w:t xml:space="preserve">Die Rechnungsgrundlagen, die vor dem Zeitpunkt der Prämienanpassung gegolten haben, werden mit einem hochgestellten „a“ gekennzeichnet.</w:t>
      </w:r>
    </w:p>
    <w:p>
      <w:r>
        <w:rPr>
          <w:rFonts w:ascii="Courier New" w:hAnsi="Courier New"/>
          <w:sz w:val="17"/>
        </w:rPr>
        <w:t xml:space="preserve">[Abbildung]    = einmalige Sanierungs- oder unmittelbare Abschlusskosten, gemessen im Mehrfachen der Differenz zwischen neuer und alter Jahresprämie des bereits Versicherten</w:t>
      </w:r>
    </w:p>
    <w:p>
      <w:r>
        <w:rPr>
          <w:rFonts w:ascii="Courier New" w:hAnsi="Courier New"/>
          <w:sz w:val="17"/>
        </w:rPr>
        <w:t xml:space="preserve">u    = erreichtes Alter zum Zeitpunkt der Prämienanpassung</w:t>
      </w:r>
    </w:p>
    <w:p>
      <w:r>
        <w:rPr>
          <w:rFonts w:ascii="Courier New" w:hAnsi="Courier New"/>
          <w:sz w:val="17"/>
        </w:rPr>
        <w:t xml:space="preserve">[Abbildung]    = bisher gezahlte Prämie</w:t>
      </w:r>
    </w:p>
    <w:p>
      <w:r>
        <w:t xml:space="preserve">Jährliche Bruttoprämie eines u-jährigen Versicherten nach der Prämienanpassung:</w:t>
      </w:r>
    </w:p>
    <w:p>
      <w:r>
        <w:t xml:space="preserve">[Abbildung]</w:t>
      </w:r>
    </w:p>
    <w:p>
      <w:r>
        <w:t xml:space="preserve">mit</w:t>
      </w:r>
    </w:p>
    <w:p>
      <w:r>
        <w:t xml:space="preserve">[Abbildung]</w:t>
      </w:r>
    </w:p>
    <w:p>
      <w:r>
        <w:t xml:space="preserve">[Abbildung]</w:t>
      </w:r>
    </w:p>
    <w:p>
      <w:r>
        <w:t xml:space="preserve">[Abbildung]</w:t>
      </w:r>
    </w:p>
    <w:p>
      <w:r>
        <w:t xml:space="preserve">Der Ausdruck für [Abbildung] ändert sich entsprechend, wenn</w:t>
      </w:r>
    </w:p>
    <w:p>
      <w:pPr>
        <w:ind w:left="420"/>
      </w:pPr>
      <w:r>
        <w:t xml:space="preserve">– ein Kostenzuschlagssystem nach § 8 Absatz 4 Satz 4 verwendet wird,</w:t>
      </w:r>
    </w:p>
    <w:p>
      <w:pPr>
        <w:ind w:left="420"/>
      </w:pPr>
      <w:r>
        <w:t xml:space="preserve">– die einmaligen Sanierungskosten in anderer Weise eingerechnet werden,</w:t>
      </w:r>
    </w:p>
    <w:p>
      <w:pPr>
        <w:ind w:left="420"/>
      </w:pPr>
      <w:r>
        <w:t xml:space="preserve">– die unmittelbaren Abschlusskosten bei Umstufung in anderer Weise eingerechnet werden oder</w:t>
      </w:r>
    </w:p>
    <w:p>
      <w:pPr>
        <w:ind w:left="420"/>
      </w:pPr>
      <w:r>
        <w:t xml:space="preserve">– eine andere Formel für die Berechnung der Prämie des Neuzugangs nach § 10 Absatz 5 verwendet wird.</w:t>
      </w:r>
    </w:p>
    <w:p>
      <w:r>
        <w:t xml:space="preserve">Interpolationen der Rechenwerte auf den Zeitpunkt der Prämienanpassung oder der Umstufung sind zulässig.</w:t>
      </w:r>
    </w:p>
    <w:p>
      <w:r>
        <w:rPr>
          <w:color w:val="555555"/>
          <w:sz w:val="17"/>
        </w:rPr>
        <w:t xml:space="preserve">Zitiervorschlag: Anlage 1 KVAV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https://recht.nulegal.eu/gesetze/KVAV/anlage-1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