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KVAV — Sicherheitszuschlag</w:t>
      </w:r>
    </w:p>
    <w:p>
      <w:r>
        <w:rPr>
          <w:color w:val="555555"/>
          <w:sz w:val="18"/>
        </w:rPr>
        <w:t xml:space="preserve">Krankenversicherungsaufsichtsverordnung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 Prämie ist ein Sicherheitszuschlag von mindestens 5 Prozent der Bruttoprämie einzurechnen, der nicht bereits in anderen Rechnungsgrundlagen enthalten sein darf.</w:t>
      </w:r>
    </w:p>
    <w:p>
      <w:r>
        <w:rPr>
          <w:color w:val="555555"/>
          <w:sz w:val="17"/>
        </w:rPr>
        <w:t xml:space="preserve">Zitiervorschlag: § 7 KVAV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https://recht.nulegal.eu/gesetze/KVAV/7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