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KVAV — Kopfschäden</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Kopfschäden sind die im Beobachtungszeitraum auf einen Versicherten entfallenden durchschnittlichen Versicherungsleistungen; sie sind für jeden Tarif in Abhängigkeit vom Alter des Versicherten zu ermitteln. Der Beobachtungszeitraum erstreckt sich auf zusammenhängende zwölf Monate; er ist für jeden Tarif gesondert festzulegen und kann nur aus wichtigem Grund im unmittelbaren Anschluss an eine Prämienanpassung geändert werden.</w:t>
      </w:r>
    </w:p>
    <w:p>
      <w:r>
        <w:t xml:space="preserve">(2) Werden bei Neueinführung eines Tarifs andere als die von der Bundesanstalt für Finanzdienstleistungsaufsicht (Bundesanstalt) veröffentlichten Wahrscheinlichkeitstafeln verwendet, so sind die ihnen zugrundeliegenden Annahmen durch geeignete Statistiken zu belegen. Weichen die tariflichen Leistungen von denen ab, die den von der Bundesanstalt veröffentlichten Tafeln zugrunde liegen, so sind die für den neuen Tarif vorgesehenen Kopfschäden entsprechend abzuändern.</w:t>
      </w:r>
    </w:p>
    <w:p>
      <w:r>
        <w:t xml:space="preserve">(3) Bei der Ermittlung der rechnungsmäßigen Kopfschäden für einen bestehenden Tarif sind für die einzelnen Bestandsgruppen die tatsächlichen Schadenergebnisse früherer Jahre mit einzubeziehen und mathematisch-statistische Verfahren zum Ausgleich von Zufallsschwankungen zu verwenden. Ist wegen geringer Bestandsgröße der Ausgleich von Zufallsschwankungen auf diese Weise nicht zu erreichen, so sind Stütztarife zu verwenden. Liegen auch keine Stütztarife vor, so ist der Schadenbedarf nach mathematisch-statistischen Grundsätzen zu schätzen.</w:t>
      </w:r>
    </w:p>
    <w:p>
      <w:r>
        <w:t xml:space="preserve">(4) Die Teilkopfschäden für Leistungen nach § 25 Satz 1 Nummer 2 sind für alle Alter gesondert zu ermitteln. Die entsprechenden rechnungsmäßigen Teilkopfschäden sind auf alle Alter gleichmäßig zu verteilen.</w:t>
      </w:r>
    </w:p>
    <w:p>
      <w:r>
        <w:rPr>
          <w:color w:val="555555"/>
          <w:sz w:val="17"/>
        </w:rPr>
        <w:t xml:space="preserve">Zitiervorschlag: § 6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