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KVAV — Ausscheideordnung</w:t>
      </w:r>
    </w:p>
    <w:p>
      <w:r>
        <w:rPr>
          <w:color w:val="555555"/>
          <w:sz w:val="18"/>
        </w:rPr>
        <w:t xml:space="preserve">Krankenversicherungsaufsichtsverordnung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Ausscheideordnung enthält die Annahmen zur Sterbewahrscheinlichkeit und zu sonstigen Abgangswahrscheinlichkeiten, die unter dem Gesichtspunkt vorsichtiger Risikoeinschätzung festzulegen und regelmäßig zu überprüfen sind.</w:t>
      </w:r>
    </w:p>
    <w:p>
      <w:r>
        <w:t xml:space="preserve">(2) In der privaten Pflege-Pflichtversicherung und bei Gewährung von Versicherung im Basistarif nach § 152 des Versicherungsaufsichtsgesetzes dürfen außer den Sterbewahrscheinlichkeiten sowie den Wahrscheinlichkeiten des Abgangs zur sozialen Pflegeversicherung und gesetzlichen Krankenversicherung keine weiteren Abgangswahrscheinlichkeiten berücksichtigt werden.</w:t>
      </w:r>
    </w:p>
    <w:p>
      <w:r>
        <w:rPr>
          <w:color w:val="555555"/>
          <w:sz w:val="17"/>
        </w:rPr>
        <w:t xml:space="preserve">Zitiervorschlag: § 5 KVAV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https://recht.nulegal.eu/gesetze/KVAV/5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