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KVAV — Rechnungszins</w:t>
      </w:r>
    </w:p>
    <w:p>
      <w:r>
        <w:rPr>
          <w:color w:val="555555"/>
          <w:sz w:val="18"/>
        </w:rPr>
        <w:t xml:space="preserve">Krankenversicherungsaufsichtsverordnung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Rechnungszins für die Prämienberechnung und die Berechnung der Alterungsrückstellung darf 3,5 Prozent nicht übersteigen.</w:t>
      </w:r>
    </w:p>
    <w:p>
      <w:r>
        <w:rPr>
          <w:color w:val="555555"/>
          <w:sz w:val="17"/>
        </w:rPr>
        <w:t xml:space="preserve">Zitiervorschlag: § 4 KVAV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https://recht.nulegal.eu/gesetze/KVAV/4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